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05799A">
      <w:pPr>
        <w:snapToGrid w:val="0"/>
        <w:spacing w:line="440" w:lineRule="exact"/>
        <w:jc w:val="center"/>
        <w:rPr>
          <w:rFonts w:eastAsia="方正小标宋简体"/>
          <w:color w:val="000000"/>
          <w:sz w:val="32"/>
          <w:szCs w:val="32"/>
        </w:rPr>
      </w:pPr>
      <w:r>
        <w:rPr>
          <w:rFonts w:hint="eastAsia" w:eastAsia="方正小标宋简体"/>
          <w:color w:val="000000"/>
          <w:sz w:val="32"/>
          <w:szCs w:val="32"/>
        </w:rPr>
        <w:t>2024年洛江区产品质量监督抽查实施细则</w:t>
      </w:r>
    </w:p>
    <w:p w14:paraId="40F7C7B8">
      <w:pPr>
        <w:snapToGrid w:val="0"/>
        <w:spacing w:line="440" w:lineRule="exact"/>
        <w:jc w:val="center"/>
        <w:rPr>
          <w:rFonts w:eastAsia="方正小标宋简体"/>
          <w:color w:val="000000"/>
          <w:sz w:val="32"/>
          <w:szCs w:val="32"/>
        </w:rPr>
      </w:pPr>
      <w:r>
        <w:rPr>
          <w:rFonts w:hint="eastAsia" w:eastAsia="方正小标宋简体"/>
          <w:color w:val="000000"/>
          <w:sz w:val="32"/>
          <w:szCs w:val="32"/>
        </w:rPr>
        <w:t>茶叶包装</w:t>
      </w:r>
    </w:p>
    <w:p w14:paraId="72AF0B15">
      <w:pPr>
        <w:adjustRightInd w:val="0"/>
        <w:snapToGrid w:val="0"/>
        <w:spacing w:line="594" w:lineRule="exact"/>
        <w:jc w:val="center"/>
        <w:rPr>
          <w:rFonts w:eastAsia="微软雅黑"/>
          <w:bCs/>
          <w:color w:val="000000"/>
          <w:sz w:val="32"/>
          <w:szCs w:val="32"/>
        </w:rPr>
      </w:pPr>
    </w:p>
    <w:p w14:paraId="4049091C">
      <w:pPr>
        <w:snapToGrid w:val="0"/>
        <w:spacing w:line="440" w:lineRule="exact"/>
        <w:rPr>
          <w:rFonts w:eastAsia="黑体"/>
          <w:color w:val="000000"/>
          <w:szCs w:val="21"/>
        </w:rPr>
      </w:pPr>
      <w:r>
        <w:rPr>
          <w:rFonts w:eastAsia="黑体"/>
          <w:color w:val="000000"/>
          <w:szCs w:val="21"/>
        </w:rPr>
        <w:t>1 抽样方法</w:t>
      </w:r>
    </w:p>
    <w:p w14:paraId="4CEF40FA">
      <w:pPr>
        <w:snapToGrid w:val="0"/>
        <w:spacing w:line="440" w:lineRule="exact"/>
        <w:ind w:firstLine="420" w:firstLineChars="200"/>
        <w:rPr>
          <w:color w:val="000000"/>
          <w:szCs w:val="21"/>
        </w:rPr>
      </w:pPr>
      <w:r>
        <w:rPr>
          <w:color w:val="000000"/>
          <w:szCs w:val="21"/>
        </w:rPr>
        <w:t>以随机抽样的方式在被抽样</w:t>
      </w:r>
      <w:r>
        <w:rPr>
          <w:rFonts w:hint="eastAsia"/>
          <w:color w:val="000000"/>
          <w:szCs w:val="21"/>
          <w:lang w:val="en-US" w:eastAsia="zh-CN"/>
        </w:rPr>
        <w:t>单位</w:t>
      </w:r>
      <w:r>
        <w:rPr>
          <w:color w:val="000000"/>
          <w:szCs w:val="21"/>
        </w:rPr>
        <w:t>的</w:t>
      </w:r>
      <w:r>
        <w:rPr>
          <w:rFonts w:hint="eastAsia"/>
          <w:color w:val="000000"/>
          <w:szCs w:val="21"/>
          <w:lang w:val="en-US" w:eastAsia="zh-CN"/>
        </w:rPr>
        <w:t>货架上或</w:t>
      </w:r>
      <w:r>
        <w:rPr>
          <w:color w:val="000000"/>
          <w:szCs w:val="21"/>
        </w:rPr>
        <w:t>待销产品中和辅料仓库内抽取。</w:t>
      </w:r>
    </w:p>
    <w:p w14:paraId="119C8D71">
      <w:pPr>
        <w:snapToGrid w:val="0"/>
        <w:spacing w:line="440" w:lineRule="exact"/>
        <w:ind w:firstLine="420" w:firstLineChars="200"/>
        <w:rPr>
          <w:color w:val="000000" w:themeColor="text1"/>
          <w:szCs w:val="21"/>
        </w:rPr>
      </w:pPr>
      <w:r>
        <w:rPr>
          <w:color w:val="000000"/>
          <w:szCs w:val="21"/>
        </w:rPr>
        <w:t>抽查样</w:t>
      </w:r>
      <w:r>
        <w:rPr>
          <w:color w:val="000000" w:themeColor="text1"/>
          <w:szCs w:val="21"/>
        </w:rPr>
        <w:t>品基数满足抽样数量即可。</w:t>
      </w:r>
    </w:p>
    <w:p w14:paraId="3DEADAA1">
      <w:pPr>
        <w:snapToGrid w:val="0"/>
        <w:spacing w:line="440" w:lineRule="exact"/>
        <w:ind w:firstLine="420" w:firstLineChars="200"/>
        <w:rPr>
          <w:color w:val="000000" w:themeColor="text1"/>
          <w:szCs w:val="21"/>
        </w:rPr>
      </w:pPr>
      <w:r>
        <w:rPr>
          <w:color w:val="000000" w:themeColor="text1"/>
          <w:szCs w:val="21"/>
        </w:rPr>
        <w:t>随机数一般可使用随机数表、骰子或扑克牌等方法产生。</w:t>
      </w:r>
    </w:p>
    <w:p w14:paraId="6865F594">
      <w:pPr>
        <w:snapToGrid w:val="0"/>
        <w:spacing w:line="440" w:lineRule="exact"/>
        <w:ind w:firstLine="420" w:firstLineChars="200"/>
        <w:rPr>
          <w:color w:val="000000" w:themeColor="text1"/>
          <w:szCs w:val="21"/>
        </w:rPr>
      </w:pPr>
      <w:r>
        <w:rPr>
          <w:color w:val="000000" w:themeColor="text1"/>
          <w:szCs w:val="21"/>
          <w:lang w:val="en-US" w:eastAsia="zh-CN"/>
        </w:rPr>
        <w:t xml:space="preserve">生产环节抽样时，在企业的成品库房，从同一批次样品堆的不同部位抽取相应数量的样 </w:t>
      </w:r>
    </w:p>
    <w:p w14:paraId="57235FDC">
      <w:pPr>
        <w:snapToGrid w:val="0"/>
        <w:spacing w:line="440" w:lineRule="exact"/>
        <w:ind w:firstLine="420" w:firstLineChars="200"/>
        <w:rPr>
          <w:color w:val="000000" w:themeColor="text1"/>
          <w:szCs w:val="21"/>
        </w:rPr>
      </w:pPr>
      <w:r>
        <w:rPr>
          <w:color w:val="000000" w:themeColor="text1"/>
          <w:szCs w:val="21"/>
          <w:lang w:val="en-US" w:eastAsia="zh-CN"/>
        </w:rPr>
        <w:t>品。抽取样品量</w:t>
      </w:r>
      <w:r>
        <w:rPr>
          <w:rFonts w:hint="eastAsia"/>
          <w:color w:val="000000" w:themeColor="text1"/>
          <w:szCs w:val="21"/>
        </w:rPr>
        <w:t>每批次产品抽取样品2</w:t>
      </w:r>
      <w:r>
        <w:rPr>
          <w:rFonts w:hint="eastAsia"/>
          <w:color w:val="000000" w:themeColor="text1"/>
          <w:szCs w:val="21"/>
          <w:lang w:val="en-US" w:eastAsia="zh-CN"/>
        </w:rPr>
        <w:t>份</w:t>
      </w:r>
      <w:r>
        <w:rPr>
          <w:rFonts w:hint="eastAsia"/>
          <w:color w:val="000000" w:themeColor="text1"/>
          <w:szCs w:val="21"/>
        </w:rPr>
        <w:t>，其中1</w:t>
      </w:r>
      <w:r>
        <w:rPr>
          <w:rFonts w:hint="eastAsia"/>
          <w:color w:val="000000" w:themeColor="text1"/>
          <w:szCs w:val="21"/>
          <w:lang w:val="en-US" w:eastAsia="zh-CN"/>
        </w:rPr>
        <w:t>份</w:t>
      </w:r>
      <w:r>
        <w:rPr>
          <w:rFonts w:hint="eastAsia"/>
          <w:color w:val="000000" w:themeColor="text1"/>
          <w:szCs w:val="21"/>
        </w:rPr>
        <w:t>作为检验样品，1</w:t>
      </w:r>
      <w:r>
        <w:rPr>
          <w:rFonts w:hint="eastAsia"/>
          <w:color w:val="000000" w:themeColor="text1"/>
          <w:szCs w:val="21"/>
          <w:lang w:val="en-US" w:eastAsia="zh-CN"/>
        </w:rPr>
        <w:t>份</w:t>
      </w:r>
      <w:r>
        <w:rPr>
          <w:rFonts w:hint="eastAsia"/>
          <w:color w:val="000000" w:themeColor="text1"/>
          <w:szCs w:val="21"/>
        </w:rPr>
        <w:t>作为备用样品</w:t>
      </w:r>
      <w:r>
        <w:rPr>
          <w:color w:val="000000" w:themeColor="text1"/>
          <w:szCs w:val="21"/>
          <w:lang w:val="en-US" w:eastAsia="zh-CN"/>
        </w:rPr>
        <w:t xml:space="preserve">。 </w:t>
      </w:r>
    </w:p>
    <w:p w14:paraId="372DE38A">
      <w:pPr>
        <w:snapToGrid w:val="0"/>
        <w:spacing w:line="440" w:lineRule="exact"/>
        <w:ind w:firstLine="420" w:firstLineChars="200"/>
        <w:rPr>
          <w:color w:val="000000" w:themeColor="text1"/>
          <w:szCs w:val="21"/>
        </w:rPr>
      </w:pPr>
      <w:r>
        <w:rPr>
          <w:color w:val="000000" w:themeColor="text1"/>
          <w:szCs w:val="21"/>
          <w:lang w:val="en-US" w:eastAsia="zh-CN"/>
        </w:rPr>
        <w:t xml:space="preserve">流通环节抽样时，在货架、柜台、库房或网络食品经营平台抽取同一批次待销产品，抽 </w:t>
      </w:r>
    </w:p>
    <w:p w14:paraId="175BEE84">
      <w:pPr>
        <w:snapToGrid w:val="0"/>
        <w:spacing w:line="440" w:lineRule="exact"/>
        <w:ind w:firstLine="420" w:firstLineChars="200"/>
        <w:rPr>
          <w:color w:val="000000" w:themeColor="text1"/>
          <w:szCs w:val="21"/>
        </w:rPr>
      </w:pPr>
      <w:r>
        <w:rPr>
          <w:color w:val="000000" w:themeColor="text1"/>
          <w:szCs w:val="21"/>
          <w:lang w:val="en-US" w:eastAsia="zh-CN"/>
        </w:rPr>
        <w:t>取样品量原则上同生产环节。</w:t>
      </w:r>
    </w:p>
    <w:p w14:paraId="2F3D9C00">
      <w:pPr>
        <w:snapToGrid w:val="0"/>
        <w:spacing w:line="440" w:lineRule="exact"/>
        <w:ind w:firstLine="420" w:firstLineChars="200"/>
        <w:rPr>
          <w:color w:val="000000" w:themeColor="text1"/>
          <w:szCs w:val="21"/>
        </w:rPr>
      </w:pPr>
      <w:r>
        <w:rPr>
          <w:rFonts w:hint="eastAsia"/>
          <w:color w:val="000000" w:themeColor="text1"/>
          <w:szCs w:val="21"/>
        </w:rPr>
        <w:t>以上所抽取同类样品保证同一批次，同一规格型号。</w:t>
      </w:r>
    </w:p>
    <w:p w14:paraId="699676C7">
      <w:pPr>
        <w:snapToGrid w:val="0"/>
        <w:spacing w:line="440" w:lineRule="exact"/>
        <w:ind w:left="420" w:leftChars="200" w:firstLine="0" w:firstLineChars="0"/>
        <w:rPr>
          <w:color w:val="000000"/>
          <w:szCs w:val="21"/>
        </w:rPr>
      </w:pPr>
      <w:r>
        <w:rPr>
          <w:rFonts w:hint="eastAsia"/>
          <w:color w:val="000000"/>
          <w:szCs w:val="21"/>
        </w:rPr>
        <w:t>除以上抽样要求外，在茶叶成品库抽取茶叶产品对是否</w:t>
      </w:r>
      <w:bookmarkStart w:id="1" w:name="_GoBack"/>
      <w:bookmarkEnd w:id="1"/>
      <w:r>
        <w:rPr>
          <w:rFonts w:hint="eastAsia"/>
          <w:color w:val="000000"/>
          <w:szCs w:val="21"/>
        </w:rPr>
        <w:t>涉及过度包装情况进行检查，每批次产品抽取样品2</w:t>
      </w:r>
      <w:r>
        <w:rPr>
          <w:rFonts w:hint="eastAsia"/>
          <w:color w:val="000000"/>
          <w:szCs w:val="21"/>
          <w:lang w:val="en-US" w:eastAsia="zh-CN"/>
        </w:rPr>
        <w:t>份</w:t>
      </w:r>
      <w:r>
        <w:rPr>
          <w:rFonts w:hint="eastAsia"/>
          <w:color w:val="000000"/>
          <w:szCs w:val="21"/>
        </w:rPr>
        <w:t>，其中1</w:t>
      </w:r>
      <w:r>
        <w:rPr>
          <w:rFonts w:hint="eastAsia"/>
          <w:color w:val="000000"/>
          <w:szCs w:val="21"/>
          <w:lang w:val="en-US" w:eastAsia="zh-CN"/>
        </w:rPr>
        <w:t>份</w:t>
      </w:r>
      <w:r>
        <w:rPr>
          <w:rFonts w:hint="eastAsia"/>
          <w:color w:val="000000"/>
          <w:szCs w:val="21"/>
        </w:rPr>
        <w:t>作为检查样品，1</w:t>
      </w:r>
      <w:r>
        <w:rPr>
          <w:rFonts w:hint="eastAsia"/>
          <w:color w:val="000000"/>
          <w:szCs w:val="21"/>
          <w:lang w:val="en-US" w:eastAsia="zh-CN"/>
        </w:rPr>
        <w:t>份</w:t>
      </w:r>
      <w:r>
        <w:rPr>
          <w:rFonts w:hint="eastAsia"/>
          <w:color w:val="000000"/>
          <w:szCs w:val="21"/>
        </w:rPr>
        <w:t>作为备用样品。</w:t>
      </w:r>
    </w:p>
    <w:p w14:paraId="19C2A360">
      <w:pPr>
        <w:snapToGrid w:val="0"/>
        <w:spacing w:line="440" w:lineRule="exact"/>
        <w:ind w:firstLine="420" w:firstLineChars="200"/>
        <w:rPr>
          <w:color w:val="000000"/>
          <w:szCs w:val="21"/>
        </w:rPr>
      </w:pPr>
    </w:p>
    <w:p w14:paraId="4C5794C5">
      <w:pPr>
        <w:snapToGrid w:val="0"/>
        <w:spacing w:line="440" w:lineRule="exact"/>
        <w:rPr>
          <w:rFonts w:eastAsia="黑体"/>
          <w:color w:val="000000"/>
          <w:szCs w:val="21"/>
        </w:rPr>
      </w:pPr>
      <w:r>
        <w:rPr>
          <w:rFonts w:eastAsia="黑体"/>
          <w:color w:val="000000"/>
          <w:szCs w:val="21"/>
        </w:rPr>
        <w:t>2 检验依据</w:t>
      </w:r>
    </w:p>
    <w:p w14:paraId="56F339A8">
      <w:pPr>
        <w:snapToGrid w:val="0"/>
        <w:spacing w:line="440" w:lineRule="exact"/>
        <w:rPr>
          <w:color w:val="000000"/>
        </w:rPr>
      </w:pPr>
    </w:p>
    <w:p w14:paraId="4BF7D80B">
      <w:pPr>
        <w:snapToGrid w:val="0"/>
        <w:spacing w:line="440" w:lineRule="exact"/>
        <w:jc w:val="center"/>
        <w:rPr>
          <w:color w:val="000000"/>
          <w:kern w:val="0"/>
          <w:szCs w:val="21"/>
        </w:rPr>
      </w:pPr>
      <w:r>
        <w:rPr>
          <w:rFonts w:hint="eastAsia"/>
          <w:color w:val="000000"/>
          <w:kern w:val="0"/>
          <w:szCs w:val="21"/>
        </w:rPr>
        <w:t>表</w:t>
      </w:r>
      <w:r>
        <w:rPr>
          <w:color w:val="000000"/>
          <w:kern w:val="0"/>
          <w:szCs w:val="21"/>
        </w:rPr>
        <w:t xml:space="preserve">1 </w:t>
      </w:r>
      <w:r>
        <w:rPr>
          <w:rFonts w:hint="eastAsia"/>
          <w:color w:val="000000"/>
          <w:kern w:val="0"/>
          <w:szCs w:val="21"/>
        </w:rPr>
        <w:t>茶叶包装检验项目</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3404"/>
        <w:gridCol w:w="5079"/>
      </w:tblGrid>
      <w:tr w14:paraId="34B7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exact"/>
          <w:tblHeader/>
          <w:jc w:val="center"/>
        </w:trPr>
        <w:tc>
          <w:tcPr>
            <w:tcW w:w="377" w:type="pct"/>
            <w:shd w:val="clear" w:color="auto" w:fill="auto"/>
          </w:tcPr>
          <w:p w14:paraId="7E27FB0E">
            <w:pPr>
              <w:snapToGrid w:val="0"/>
              <w:spacing w:line="440" w:lineRule="exact"/>
              <w:jc w:val="center"/>
              <w:rPr>
                <w:color w:val="000000" w:themeColor="text1"/>
              </w:rPr>
            </w:pPr>
            <w:r>
              <w:rPr>
                <w:rFonts w:hint="eastAsia"/>
                <w:color w:val="000000" w:themeColor="text1"/>
              </w:rPr>
              <w:t>序号</w:t>
            </w:r>
          </w:p>
        </w:tc>
        <w:tc>
          <w:tcPr>
            <w:tcW w:w="1855" w:type="pct"/>
            <w:shd w:val="clear" w:color="auto" w:fill="auto"/>
          </w:tcPr>
          <w:p w14:paraId="5ED738DA">
            <w:pPr>
              <w:snapToGrid w:val="0"/>
              <w:spacing w:line="440" w:lineRule="exact"/>
              <w:jc w:val="center"/>
              <w:rPr>
                <w:color w:val="000000" w:themeColor="text1"/>
              </w:rPr>
            </w:pPr>
            <w:r>
              <w:rPr>
                <w:rFonts w:hint="eastAsia"/>
                <w:color w:val="000000" w:themeColor="text1"/>
              </w:rPr>
              <w:t>检验项目</w:t>
            </w:r>
          </w:p>
        </w:tc>
        <w:tc>
          <w:tcPr>
            <w:tcW w:w="2767" w:type="pct"/>
            <w:shd w:val="clear" w:color="auto" w:fill="auto"/>
          </w:tcPr>
          <w:p w14:paraId="61CA9B5E">
            <w:pPr>
              <w:snapToGrid w:val="0"/>
              <w:spacing w:line="440" w:lineRule="exact"/>
              <w:jc w:val="center"/>
              <w:rPr>
                <w:color w:val="000000" w:themeColor="text1"/>
              </w:rPr>
            </w:pPr>
            <w:r>
              <w:rPr>
                <w:rFonts w:hint="eastAsia"/>
                <w:color w:val="000000" w:themeColor="text1"/>
              </w:rPr>
              <w:t>检验方法</w:t>
            </w:r>
          </w:p>
        </w:tc>
      </w:tr>
      <w:tr w14:paraId="24371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77" w:type="pct"/>
            <w:shd w:val="clear" w:color="auto" w:fill="auto"/>
            <w:vAlign w:val="center"/>
          </w:tcPr>
          <w:p w14:paraId="784B324D">
            <w:pPr>
              <w:adjustRightInd w:val="0"/>
              <w:snapToGrid w:val="0"/>
              <w:jc w:val="center"/>
              <w:textAlignment w:val="center"/>
              <w:rPr>
                <w:color w:val="000000" w:themeColor="text1"/>
              </w:rPr>
            </w:pPr>
            <w:r>
              <w:rPr>
                <w:color w:val="000000" w:themeColor="text1"/>
                <w:kern w:val="0"/>
              </w:rPr>
              <w:t>1</w:t>
            </w:r>
          </w:p>
        </w:tc>
        <w:tc>
          <w:tcPr>
            <w:tcW w:w="1855" w:type="pct"/>
            <w:shd w:val="clear" w:color="auto" w:fill="auto"/>
            <w:vAlign w:val="center"/>
          </w:tcPr>
          <w:p w14:paraId="77D5B273">
            <w:pPr>
              <w:adjustRightInd w:val="0"/>
              <w:snapToGrid w:val="0"/>
              <w:jc w:val="center"/>
              <w:rPr>
                <w:color w:val="000000" w:themeColor="text1"/>
              </w:rPr>
            </w:pPr>
            <w:r>
              <w:rPr>
                <w:rFonts w:hint="eastAsia"/>
                <w:color w:val="000000" w:themeColor="text1"/>
              </w:rPr>
              <w:t>包装空隙率</w:t>
            </w:r>
          </w:p>
        </w:tc>
        <w:tc>
          <w:tcPr>
            <w:tcW w:w="2767" w:type="pct"/>
            <w:shd w:val="clear" w:color="auto" w:fill="auto"/>
            <w:vAlign w:val="center"/>
          </w:tcPr>
          <w:p w14:paraId="1B3D92D8">
            <w:pPr>
              <w:adjustRightInd w:val="0"/>
              <w:snapToGrid w:val="0"/>
              <w:jc w:val="center"/>
              <w:rPr>
                <w:color w:val="000000" w:themeColor="text1"/>
                <w:szCs w:val="21"/>
              </w:rPr>
            </w:pPr>
            <w:r>
              <w:rPr>
                <w:rFonts w:hint="eastAsia"/>
                <w:color w:val="000000" w:themeColor="text1"/>
                <w:szCs w:val="21"/>
              </w:rPr>
              <w:t>GB 23350-2021</w:t>
            </w:r>
          </w:p>
        </w:tc>
      </w:tr>
      <w:tr w14:paraId="5219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377" w:type="pct"/>
            <w:shd w:val="clear" w:color="auto" w:fill="auto"/>
            <w:vAlign w:val="center"/>
          </w:tcPr>
          <w:p w14:paraId="713DA453">
            <w:pPr>
              <w:adjustRightInd w:val="0"/>
              <w:snapToGrid w:val="0"/>
              <w:jc w:val="center"/>
              <w:textAlignment w:val="center"/>
              <w:rPr>
                <w:color w:val="000000" w:themeColor="text1"/>
                <w:kern w:val="0"/>
              </w:rPr>
            </w:pPr>
            <w:r>
              <w:rPr>
                <w:color w:val="000000" w:themeColor="text1"/>
                <w:kern w:val="0"/>
              </w:rPr>
              <w:t>2</w:t>
            </w:r>
          </w:p>
        </w:tc>
        <w:tc>
          <w:tcPr>
            <w:tcW w:w="1855" w:type="pct"/>
            <w:shd w:val="clear" w:color="auto" w:fill="auto"/>
            <w:vAlign w:val="center"/>
          </w:tcPr>
          <w:p w14:paraId="64D5FBA9">
            <w:pPr>
              <w:adjustRightInd w:val="0"/>
              <w:snapToGrid w:val="0"/>
              <w:jc w:val="center"/>
              <w:rPr>
                <w:color w:val="000000" w:themeColor="text1"/>
                <w:szCs w:val="21"/>
              </w:rPr>
            </w:pPr>
            <w:r>
              <w:rPr>
                <w:rFonts w:hint="eastAsia"/>
                <w:color w:val="000000" w:themeColor="text1"/>
                <w:szCs w:val="21"/>
              </w:rPr>
              <w:t>包装层数</w:t>
            </w:r>
          </w:p>
        </w:tc>
        <w:tc>
          <w:tcPr>
            <w:tcW w:w="2767" w:type="pct"/>
            <w:shd w:val="clear" w:color="auto" w:fill="auto"/>
            <w:vAlign w:val="center"/>
          </w:tcPr>
          <w:p w14:paraId="4C757BC0">
            <w:pPr>
              <w:adjustRightInd w:val="0"/>
              <w:snapToGrid w:val="0"/>
              <w:jc w:val="center"/>
              <w:rPr>
                <w:color w:val="000000" w:themeColor="text1"/>
                <w:szCs w:val="21"/>
              </w:rPr>
            </w:pPr>
            <w:r>
              <w:rPr>
                <w:rFonts w:hint="eastAsia"/>
                <w:color w:val="000000" w:themeColor="text1"/>
                <w:szCs w:val="21"/>
              </w:rPr>
              <w:t>GB 23350-2021</w:t>
            </w:r>
          </w:p>
        </w:tc>
      </w:tr>
      <w:tr w14:paraId="156A8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tcPr>
          <w:p w14:paraId="6CB2761F">
            <w:pPr>
              <w:keepNext w:val="0"/>
              <w:keepLines w:val="0"/>
              <w:widowControl/>
              <w:suppressLineNumbers w:val="0"/>
              <w:jc w:val="left"/>
              <w:rPr>
                <w:rFonts w:hint="default" w:eastAsia="宋体"/>
                <w:color w:val="FF0000"/>
                <w:lang w:val="en-US" w:eastAsia="zh-CN"/>
              </w:rPr>
            </w:pPr>
            <w:r>
              <w:rPr>
                <w:rFonts w:hint="eastAsia"/>
                <w:color w:val="000000" w:themeColor="text1"/>
                <w:szCs w:val="21"/>
                <w:lang w:val="en-US" w:eastAsia="zh-CN"/>
              </w:rPr>
              <w:t>注：包装体积测定依据为第5.3.1条仪器法；内装物体积以商品标注的净含量换算。</w:t>
            </w:r>
          </w:p>
        </w:tc>
      </w:tr>
    </w:tbl>
    <w:p w14:paraId="32A3F995">
      <w:pPr>
        <w:snapToGrid w:val="0"/>
        <w:spacing w:line="440" w:lineRule="exact"/>
        <w:jc w:val="center"/>
        <w:rPr>
          <w:color w:val="000000"/>
          <w:kern w:val="0"/>
        </w:rPr>
      </w:pPr>
    </w:p>
    <w:p w14:paraId="1B4D6D5F">
      <w:pPr>
        <w:snapToGrid w:val="0"/>
        <w:spacing w:line="440" w:lineRule="exact"/>
        <w:rPr>
          <w:color w:val="000000"/>
          <w:szCs w:val="21"/>
        </w:rPr>
      </w:pPr>
      <w:bookmarkStart w:id="0" w:name="_Hlk40347690"/>
      <w:r>
        <w:rPr>
          <w:rFonts w:hint="eastAsia"/>
          <w:kern w:val="0"/>
          <w:szCs w:val="21"/>
        </w:rPr>
        <w:t xml:space="preserve">    </w:t>
      </w:r>
      <w:r>
        <w:rPr>
          <w:color w:val="000000"/>
          <w:szCs w:val="21"/>
        </w:rPr>
        <w:t>执行企业标准、团体标准、地方标准的产品，检验项目参照上述内容执行。</w:t>
      </w:r>
      <w:bookmarkEnd w:id="0"/>
    </w:p>
    <w:p w14:paraId="04698C83">
      <w:pPr>
        <w:snapToGrid w:val="0"/>
        <w:spacing w:line="440" w:lineRule="exact"/>
        <w:ind w:firstLine="359" w:firstLineChars="171"/>
        <w:rPr>
          <w:rFonts w:ascii="宋体" w:hAnsi="宋体"/>
          <w:color w:val="000000"/>
          <w:szCs w:val="21"/>
        </w:rPr>
      </w:pPr>
      <w:r>
        <w:rPr>
          <w:rFonts w:hint="eastAsia" w:ascii="宋体" w:hAnsi="宋体"/>
          <w:color w:val="000000"/>
          <w:szCs w:val="21"/>
        </w:rPr>
        <w:t>凡是注日期的文件，其随后所有的修改单（不包括勘误的内容）或修订版不适用于本细则。凡是不注日期的文件，其最新版本适用于本细则。</w:t>
      </w:r>
    </w:p>
    <w:p w14:paraId="1B845562">
      <w:pPr>
        <w:spacing w:before="156" w:beforeLines="50" w:line="440" w:lineRule="exact"/>
        <w:outlineLvl w:val="0"/>
        <w:rPr>
          <w:rFonts w:eastAsia="黑体"/>
          <w:color w:val="000000"/>
          <w:szCs w:val="21"/>
        </w:rPr>
      </w:pPr>
      <w:r>
        <w:rPr>
          <w:rFonts w:eastAsia="黑体"/>
          <w:color w:val="000000"/>
          <w:szCs w:val="21"/>
        </w:rPr>
        <w:t>3 判定规则</w:t>
      </w:r>
    </w:p>
    <w:p w14:paraId="3ECC4A12">
      <w:pPr>
        <w:snapToGrid w:val="0"/>
        <w:spacing w:line="440" w:lineRule="exact"/>
        <w:rPr>
          <w:color w:val="000000"/>
          <w:szCs w:val="21"/>
        </w:rPr>
      </w:pPr>
      <w:r>
        <w:rPr>
          <w:color w:val="000000"/>
          <w:szCs w:val="21"/>
        </w:rPr>
        <w:t>3.1 依据标准</w:t>
      </w:r>
    </w:p>
    <w:p w14:paraId="01A5D81B">
      <w:pPr>
        <w:snapToGrid w:val="0"/>
        <w:spacing w:line="440" w:lineRule="exact"/>
        <w:ind w:firstLine="420" w:firstLineChars="200"/>
        <w:rPr>
          <w:color w:val="000000"/>
          <w:szCs w:val="21"/>
        </w:rPr>
      </w:pPr>
      <w:r>
        <w:t>GB 23350</w:t>
      </w:r>
      <w:r>
        <w:rPr>
          <w:rFonts w:hint="eastAsia"/>
        </w:rPr>
        <w:t>《限制商品过度包装要求食品和化妆品》</w:t>
      </w:r>
    </w:p>
    <w:p w14:paraId="79F124B2">
      <w:pPr>
        <w:snapToGrid w:val="0"/>
        <w:spacing w:line="440" w:lineRule="exact"/>
        <w:outlineLvl w:val="0"/>
        <w:rPr>
          <w:color w:val="000000"/>
          <w:szCs w:val="21"/>
        </w:rPr>
      </w:pPr>
      <w:r>
        <w:rPr>
          <w:color w:val="000000"/>
          <w:szCs w:val="21"/>
        </w:rPr>
        <w:t>3.2判定原则</w:t>
      </w:r>
    </w:p>
    <w:p w14:paraId="3319C25E">
      <w:pPr>
        <w:snapToGrid w:val="0"/>
        <w:spacing w:line="440" w:lineRule="exact"/>
        <w:ind w:firstLine="420" w:firstLineChars="200"/>
        <w:rPr>
          <w:color w:val="000000"/>
          <w:szCs w:val="21"/>
        </w:rPr>
      </w:pPr>
      <w:r>
        <w:rPr>
          <w:color w:val="000000"/>
          <w:szCs w:val="21"/>
        </w:rPr>
        <w:t>经检验，检验项目全部合格，判定为被抽查产品</w:t>
      </w:r>
      <w:r>
        <w:rPr>
          <w:rFonts w:hint="eastAsia"/>
          <w:color w:val="000000"/>
          <w:szCs w:val="21"/>
        </w:rPr>
        <w:t>所检项目未发现不</w:t>
      </w:r>
      <w:r>
        <w:rPr>
          <w:color w:val="000000"/>
          <w:szCs w:val="21"/>
        </w:rPr>
        <w:t>合格；检验项目中任一项或一项以上不合格，判定为被抽查产品不合格。</w:t>
      </w:r>
    </w:p>
    <w:p w14:paraId="7E4253CE">
      <w:pPr>
        <w:snapToGrid w:val="0"/>
        <w:spacing w:line="440" w:lineRule="exact"/>
        <w:ind w:firstLine="420" w:firstLineChars="200"/>
      </w:pPr>
      <w:r>
        <w:t>若被检产品明示的质量要求高于本细则中检验项目依据的标准要求时，应按被检产品明示的质量要求判定。</w:t>
      </w:r>
    </w:p>
    <w:p w14:paraId="519606DD">
      <w:pPr>
        <w:snapToGrid w:val="0"/>
        <w:spacing w:line="440" w:lineRule="exact"/>
        <w:ind w:firstLine="420" w:firstLineChars="200"/>
      </w:pPr>
      <w:r>
        <w:t>若被检产品明示的质量要求低于本细则中检验项目依据的强制性标准要求时，应按照强制性标准要求判定。</w:t>
      </w:r>
    </w:p>
    <w:p w14:paraId="03921E09">
      <w:pPr>
        <w:snapToGrid w:val="0"/>
        <w:spacing w:line="440" w:lineRule="exact"/>
        <w:ind w:firstLine="420" w:firstLineChars="200"/>
      </w:pPr>
      <w:r>
        <w:t>若被检产品明示的质量要求低于或包含本细则中检验项目依据的推荐性标准要求时，应以被检产品明示的质量要求判定。</w:t>
      </w:r>
    </w:p>
    <w:p w14:paraId="1796F944">
      <w:pPr>
        <w:snapToGrid w:val="0"/>
        <w:spacing w:line="440" w:lineRule="exact"/>
        <w:ind w:firstLine="420" w:firstLineChars="200"/>
      </w:pPr>
      <w:r>
        <w:t>若被检产品明示的质量要求缺少本细则中检验项目依据的强制性标准要求时，应按照强制性标准要求判定。</w:t>
      </w:r>
    </w:p>
    <w:p w14:paraId="15E56FCF">
      <w:pPr>
        <w:snapToGrid w:val="0"/>
        <w:spacing w:line="440" w:lineRule="exact"/>
        <w:ind w:firstLine="420" w:firstLineChars="200"/>
      </w:pPr>
      <w:r>
        <w:t>若被检产品明示的质量要求缺少本细则中检验项目依据的推荐性标准要求时，该项目不参与判定。</w:t>
      </w:r>
    </w:p>
    <w:p w14:paraId="602172F8">
      <w:pPr>
        <w:snapToGrid w:val="0"/>
        <w:spacing w:line="440" w:lineRule="exact"/>
        <w:ind w:firstLine="420" w:firstLineChars="200"/>
      </w:pPr>
      <w:r>
        <w:rPr>
          <w:rFonts w:hint="eastAsia"/>
        </w:rPr>
        <w:t xml:space="preserve">依据 </w:t>
      </w:r>
      <w:r>
        <w:t>GB 23350</w:t>
      </w:r>
      <w:r>
        <w:rPr>
          <w:rFonts w:hint="eastAsia"/>
        </w:rPr>
        <w:t>《限制商品过度包装要求食品和化妆品》对茶叶产品是否涉及过度包装情况进行检查，检测结果和相关证据可以作为查处茶叶过度包装的初步证据，应及时移送属地市场监管部门处理。</w:t>
      </w:r>
    </w:p>
    <w:p w14:paraId="5711AC41">
      <w:pPr>
        <w:snapToGrid w:val="0"/>
        <w:spacing w:line="440" w:lineRule="exact"/>
        <w:rPr>
          <w:color w:val="000000"/>
          <w:szCs w:val="21"/>
        </w:rPr>
      </w:pPr>
    </w:p>
    <w:sectPr>
      <w:headerReference r:id="rId3" w:type="default"/>
      <w:footerReference r:id="rId4" w:type="default"/>
      <w:footerReference r:id="rId5" w:type="even"/>
      <w:pgSz w:w="11906" w:h="16838"/>
      <w:pgMar w:top="1985" w:right="1474" w:bottom="1644" w:left="1474" w:header="851" w:footer="1191"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155E821-2CD2-462A-8D95-9B5309DB38C5}"/>
  </w:font>
  <w:font w:name="Arial">
    <w:panose1 w:val="020B0604020202020204"/>
    <w:charset w:val="01"/>
    <w:family w:val="swiss"/>
    <w:pitch w:val="default"/>
    <w:sig w:usb0="E0002EFF" w:usb1="C000785B" w:usb2="00000009" w:usb3="00000000" w:csb0="400001FF" w:csb1="FFFF0000"/>
    <w:embedRegular r:id="rId2" w:fontKey="{D2131223-3B74-4B66-B8B1-2F490C577DDB}"/>
  </w:font>
  <w:font w:name="黑体">
    <w:panose1 w:val="02010609060101010101"/>
    <w:charset w:val="86"/>
    <w:family w:val="auto"/>
    <w:pitch w:val="default"/>
    <w:sig w:usb0="800002BF" w:usb1="38CF7CFA" w:usb2="00000016" w:usb3="00000000" w:csb0="00040001" w:csb1="00000000"/>
    <w:embedRegular r:id="rId3" w:fontKey="{89815949-2281-464C-BDBD-9FFB4C8BD325}"/>
  </w:font>
  <w:font w:name="Courier New">
    <w:panose1 w:val="02070309020205020404"/>
    <w:charset w:val="01"/>
    <w:family w:val="modern"/>
    <w:pitch w:val="default"/>
    <w:sig w:usb0="E0002EFF" w:usb1="C0007843" w:usb2="00000009" w:usb3="00000000" w:csb0="400001FF" w:csb1="FFFF0000"/>
    <w:embedRegular r:id="rId4" w:fontKey="{BFF04A09-0843-45DB-8164-FA473A635791}"/>
  </w:font>
  <w:font w:name="Symbol">
    <w:panose1 w:val="05050102010706020507"/>
    <w:charset w:val="02"/>
    <w:family w:val="roman"/>
    <w:pitch w:val="default"/>
    <w:sig w:usb0="00000000" w:usb1="00000000" w:usb2="00000000" w:usb3="00000000" w:csb0="80000000" w:csb1="00000000"/>
    <w:embedRegular r:id="rId5" w:fontKey="{2D8F8492-3DBD-48B2-AAAD-36E3B50D0D1F}"/>
  </w:font>
  <w:font w:name="Calibri">
    <w:panose1 w:val="020F0502020204030204"/>
    <w:charset w:val="00"/>
    <w:family w:val="swiss"/>
    <w:pitch w:val="default"/>
    <w:sig w:usb0="E4002EFF" w:usb1="C000247B" w:usb2="00000009" w:usb3="00000000" w:csb0="200001FF" w:csb1="00000000"/>
    <w:embedRegular r:id="rId6" w:fontKey="{A3DBAC27-E338-4307-A482-F0D9A92F73E9}"/>
  </w:font>
  <w:font w:name="方正小标宋简体">
    <w:altName w:val="方正舒体"/>
    <w:panose1 w:val="00000000000000000000"/>
    <w:charset w:val="86"/>
    <w:family w:val="auto"/>
    <w:pitch w:val="default"/>
    <w:sig w:usb0="00000000" w:usb1="00000000" w:usb2="00000010" w:usb3="00000000" w:csb0="00040000" w:csb1="00000000"/>
    <w:embedRegular r:id="rId7" w:fontKey="{D5DC5547-A0A7-4950-9D06-6AC9046B6B69}"/>
  </w:font>
  <w:font w:name="微软雅黑">
    <w:panose1 w:val="020B0503020204020204"/>
    <w:charset w:val="86"/>
    <w:family w:val="swiss"/>
    <w:pitch w:val="default"/>
    <w:sig w:usb0="80000287" w:usb1="2ACF3C50" w:usb2="00000016" w:usb3="00000000" w:csb0="0004001F" w:csb1="00000000"/>
    <w:embedRegular r:id="rId8" w:fontKey="{2957A560-30DA-4AA9-9537-6468A5374650}"/>
  </w:font>
  <w:font w:name="方正舒体">
    <w:panose1 w:val="02010601030101010101"/>
    <w:charset w:val="86"/>
    <w:family w:val="auto"/>
    <w:pitch w:val="default"/>
    <w:sig w:usb0="00000003" w:usb1="080E0000" w:usb2="00000000" w:usb3="00000000" w:csb0="00040000" w:csb1="00000000"/>
  </w:font>
  <w:font w:name="Arial">
    <w:panose1 w:val="020B0604020202020204"/>
    <w:charset w:val="00"/>
    <w:family w:val="auto"/>
    <w:pitch w:val="default"/>
    <w:sig w:usb0="E0002EFF" w:usb1="C000785B" w:usb2="00000009" w:usb3="00000000" w:csb0="400001FF" w:csb1="FFFF0000"/>
    <w:embedRegular r:id="rId9" w:fontKey="{A9F177A1-4911-4134-B70D-7A110FAEFE2D}"/>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9569D">
    <w:pPr>
      <w:pStyle w:val="6"/>
      <w:jc w:val="center"/>
    </w:pPr>
    <w:r>
      <w:rPr>
        <w:lang w:val="zh-CN"/>
      </w:rPr>
      <w:fldChar w:fldCharType="begin"/>
    </w:r>
    <w:r>
      <w:rPr>
        <w:lang w:val="zh-CN"/>
      </w:rPr>
      <w:instrText xml:space="preserve"> PAGE   \* MERGEFORMAT </w:instrText>
    </w:r>
    <w:r>
      <w:rPr>
        <w:lang w:val="zh-CN"/>
      </w:rPr>
      <w:fldChar w:fldCharType="separate"/>
    </w:r>
    <w:r>
      <w:t>2</w:t>
    </w:r>
    <w:r>
      <w:rPr>
        <w:lang w:val="zh-CN"/>
      </w:rPr>
      <w:fldChar w:fldCharType="end"/>
    </w:r>
  </w:p>
  <w:p w14:paraId="1B4CBCC6">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4C712">
    <w:pPr>
      <w:pStyle w:val="6"/>
      <w:framePr w:wrap="around" w:vAnchor="text" w:hAnchor="margin" w:xAlign="center" w:y="1"/>
      <w:rPr>
        <w:rStyle w:val="13"/>
      </w:rPr>
    </w:pPr>
    <w:r>
      <w:fldChar w:fldCharType="begin"/>
    </w:r>
    <w:r>
      <w:rPr>
        <w:rStyle w:val="13"/>
      </w:rPr>
      <w:instrText xml:space="preserve">PAGE  </w:instrText>
    </w:r>
    <w:r>
      <w:fldChar w:fldCharType="separate"/>
    </w:r>
    <w:r>
      <w:rPr>
        <w:rStyle w:val="13"/>
      </w:rPr>
      <w:t>2</w:t>
    </w:r>
    <w:r>
      <w:fldChar w:fldCharType="end"/>
    </w:r>
  </w:p>
  <w:p w14:paraId="7B65C744">
    <w:pPr>
      <w:pStyle w:val="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680FC">
    <w:pPr>
      <w:pStyle w:val="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ZTczMTcxNWRlY2QyZDRmMDdjZTFmM2FlZGY1ZDUxMWEifQ=="/>
  </w:docVars>
  <w:rsids>
    <w:rsidRoot w:val="00172A27"/>
    <w:rsid w:val="000015A9"/>
    <w:rsid w:val="00005A23"/>
    <w:rsid w:val="0001047A"/>
    <w:rsid w:val="00016015"/>
    <w:rsid w:val="00022CF6"/>
    <w:rsid w:val="000262B1"/>
    <w:rsid w:val="00042290"/>
    <w:rsid w:val="00047FC6"/>
    <w:rsid w:val="0005098C"/>
    <w:rsid w:val="00051A44"/>
    <w:rsid w:val="00055E04"/>
    <w:rsid w:val="00056EFB"/>
    <w:rsid w:val="00062020"/>
    <w:rsid w:val="00063D3D"/>
    <w:rsid w:val="00075012"/>
    <w:rsid w:val="00081CBD"/>
    <w:rsid w:val="00087178"/>
    <w:rsid w:val="000976DE"/>
    <w:rsid w:val="000A7653"/>
    <w:rsid w:val="000B55EC"/>
    <w:rsid w:val="000B77B8"/>
    <w:rsid w:val="000C4168"/>
    <w:rsid w:val="000E5E38"/>
    <w:rsid w:val="000E717E"/>
    <w:rsid w:val="000F37E9"/>
    <w:rsid w:val="000F7E84"/>
    <w:rsid w:val="00102325"/>
    <w:rsid w:val="0011307B"/>
    <w:rsid w:val="00116C3C"/>
    <w:rsid w:val="00132981"/>
    <w:rsid w:val="00144DDB"/>
    <w:rsid w:val="00145F38"/>
    <w:rsid w:val="001551EB"/>
    <w:rsid w:val="00160C00"/>
    <w:rsid w:val="00172A27"/>
    <w:rsid w:val="001809DD"/>
    <w:rsid w:val="00181A55"/>
    <w:rsid w:val="00182A23"/>
    <w:rsid w:val="001837C2"/>
    <w:rsid w:val="00183BA1"/>
    <w:rsid w:val="00190EC9"/>
    <w:rsid w:val="001917F5"/>
    <w:rsid w:val="00192650"/>
    <w:rsid w:val="001A0C2F"/>
    <w:rsid w:val="001A6F1C"/>
    <w:rsid w:val="001B5558"/>
    <w:rsid w:val="001B56EA"/>
    <w:rsid w:val="001B5F40"/>
    <w:rsid w:val="001C4858"/>
    <w:rsid w:val="001D73A6"/>
    <w:rsid w:val="001E6BF8"/>
    <w:rsid w:val="001F472B"/>
    <w:rsid w:val="00202A40"/>
    <w:rsid w:val="0020610D"/>
    <w:rsid w:val="00207556"/>
    <w:rsid w:val="00221A51"/>
    <w:rsid w:val="00223874"/>
    <w:rsid w:val="00224451"/>
    <w:rsid w:val="00234159"/>
    <w:rsid w:val="00253624"/>
    <w:rsid w:val="0025531F"/>
    <w:rsid w:val="00287AC1"/>
    <w:rsid w:val="00290104"/>
    <w:rsid w:val="002948D6"/>
    <w:rsid w:val="00296D43"/>
    <w:rsid w:val="00297B5B"/>
    <w:rsid w:val="002A6FBA"/>
    <w:rsid w:val="002C3DA2"/>
    <w:rsid w:val="002D5B3E"/>
    <w:rsid w:val="002D5B5F"/>
    <w:rsid w:val="002D7399"/>
    <w:rsid w:val="002D7F8A"/>
    <w:rsid w:val="002E0D1D"/>
    <w:rsid w:val="002F2B37"/>
    <w:rsid w:val="002F50A5"/>
    <w:rsid w:val="00305122"/>
    <w:rsid w:val="003124E6"/>
    <w:rsid w:val="003203A3"/>
    <w:rsid w:val="00335D2F"/>
    <w:rsid w:val="00336410"/>
    <w:rsid w:val="00336608"/>
    <w:rsid w:val="0033720A"/>
    <w:rsid w:val="00345AB1"/>
    <w:rsid w:val="00353C79"/>
    <w:rsid w:val="00361368"/>
    <w:rsid w:val="003613C5"/>
    <w:rsid w:val="00361907"/>
    <w:rsid w:val="00365D8D"/>
    <w:rsid w:val="00367DBB"/>
    <w:rsid w:val="003777AC"/>
    <w:rsid w:val="00383975"/>
    <w:rsid w:val="003A78DF"/>
    <w:rsid w:val="003B18AB"/>
    <w:rsid w:val="003C388C"/>
    <w:rsid w:val="003C3A66"/>
    <w:rsid w:val="003D0E6A"/>
    <w:rsid w:val="003D5DA4"/>
    <w:rsid w:val="003E38A8"/>
    <w:rsid w:val="003E61BF"/>
    <w:rsid w:val="003E6BDF"/>
    <w:rsid w:val="003F3B1F"/>
    <w:rsid w:val="003F5D10"/>
    <w:rsid w:val="00405F1E"/>
    <w:rsid w:val="004113F6"/>
    <w:rsid w:val="00430680"/>
    <w:rsid w:val="0044058A"/>
    <w:rsid w:val="00445E86"/>
    <w:rsid w:val="00473069"/>
    <w:rsid w:val="00474E04"/>
    <w:rsid w:val="00475621"/>
    <w:rsid w:val="00477E2D"/>
    <w:rsid w:val="004813C3"/>
    <w:rsid w:val="00485614"/>
    <w:rsid w:val="004869A1"/>
    <w:rsid w:val="00493A8E"/>
    <w:rsid w:val="00495B76"/>
    <w:rsid w:val="004A139D"/>
    <w:rsid w:val="004A4412"/>
    <w:rsid w:val="004C2A7B"/>
    <w:rsid w:val="004D0C5A"/>
    <w:rsid w:val="004E1396"/>
    <w:rsid w:val="004E18FD"/>
    <w:rsid w:val="004F6F08"/>
    <w:rsid w:val="00501B95"/>
    <w:rsid w:val="005045DD"/>
    <w:rsid w:val="00510344"/>
    <w:rsid w:val="00514563"/>
    <w:rsid w:val="00523FD3"/>
    <w:rsid w:val="00532019"/>
    <w:rsid w:val="00541468"/>
    <w:rsid w:val="00542274"/>
    <w:rsid w:val="005457D0"/>
    <w:rsid w:val="005537EC"/>
    <w:rsid w:val="0055424A"/>
    <w:rsid w:val="00562317"/>
    <w:rsid w:val="00563EBC"/>
    <w:rsid w:val="005D5520"/>
    <w:rsid w:val="005D72F5"/>
    <w:rsid w:val="005E1265"/>
    <w:rsid w:val="005F1184"/>
    <w:rsid w:val="005F1411"/>
    <w:rsid w:val="00600C4C"/>
    <w:rsid w:val="006030D7"/>
    <w:rsid w:val="006104C5"/>
    <w:rsid w:val="006159A9"/>
    <w:rsid w:val="00615ADD"/>
    <w:rsid w:val="0063083F"/>
    <w:rsid w:val="00633C63"/>
    <w:rsid w:val="00640AFD"/>
    <w:rsid w:val="00670ADB"/>
    <w:rsid w:val="00690F38"/>
    <w:rsid w:val="00695D7E"/>
    <w:rsid w:val="006A291E"/>
    <w:rsid w:val="006D6EB3"/>
    <w:rsid w:val="006E1D18"/>
    <w:rsid w:val="006F0971"/>
    <w:rsid w:val="006F2946"/>
    <w:rsid w:val="006F4FD7"/>
    <w:rsid w:val="006F7827"/>
    <w:rsid w:val="0071705F"/>
    <w:rsid w:val="00720142"/>
    <w:rsid w:val="0072334C"/>
    <w:rsid w:val="00735FC8"/>
    <w:rsid w:val="0074311B"/>
    <w:rsid w:val="0074335A"/>
    <w:rsid w:val="007478C2"/>
    <w:rsid w:val="007579EB"/>
    <w:rsid w:val="007652C9"/>
    <w:rsid w:val="00781AE7"/>
    <w:rsid w:val="00781BDF"/>
    <w:rsid w:val="00791DC4"/>
    <w:rsid w:val="00793E0F"/>
    <w:rsid w:val="007B0456"/>
    <w:rsid w:val="007B1686"/>
    <w:rsid w:val="007B4E3D"/>
    <w:rsid w:val="007B560A"/>
    <w:rsid w:val="007C1A39"/>
    <w:rsid w:val="007C2240"/>
    <w:rsid w:val="007C4C6D"/>
    <w:rsid w:val="007C64C0"/>
    <w:rsid w:val="007E0E4B"/>
    <w:rsid w:val="007F0081"/>
    <w:rsid w:val="007F0B36"/>
    <w:rsid w:val="00800C1B"/>
    <w:rsid w:val="00807CC3"/>
    <w:rsid w:val="0081383E"/>
    <w:rsid w:val="0082170D"/>
    <w:rsid w:val="00826E0A"/>
    <w:rsid w:val="00833409"/>
    <w:rsid w:val="008376D1"/>
    <w:rsid w:val="0084212D"/>
    <w:rsid w:val="00843C36"/>
    <w:rsid w:val="008552A8"/>
    <w:rsid w:val="008556B7"/>
    <w:rsid w:val="00861321"/>
    <w:rsid w:val="008652E0"/>
    <w:rsid w:val="008823C8"/>
    <w:rsid w:val="00885E0D"/>
    <w:rsid w:val="00895BEA"/>
    <w:rsid w:val="008A3497"/>
    <w:rsid w:val="008A5984"/>
    <w:rsid w:val="008C1C1C"/>
    <w:rsid w:val="008C1F17"/>
    <w:rsid w:val="008D475C"/>
    <w:rsid w:val="008E5E24"/>
    <w:rsid w:val="008E6887"/>
    <w:rsid w:val="008F16B7"/>
    <w:rsid w:val="008F3648"/>
    <w:rsid w:val="00902C4A"/>
    <w:rsid w:val="00914C73"/>
    <w:rsid w:val="00917485"/>
    <w:rsid w:val="00917A54"/>
    <w:rsid w:val="00931BAF"/>
    <w:rsid w:val="00945F09"/>
    <w:rsid w:val="00947E8D"/>
    <w:rsid w:val="00951FFD"/>
    <w:rsid w:val="009627AE"/>
    <w:rsid w:val="009647F7"/>
    <w:rsid w:val="009807DF"/>
    <w:rsid w:val="00984D9D"/>
    <w:rsid w:val="00996E38"/>
    <w:rsid w:val="009A3D7A"/>
    <w:rsid w:val="009A5BA0"/>
    <w:rsid w:val="009B69C6"/>
    <w:rsid w:val="009C33AE"/>
    <w:rsid w:val="009D028A"/>
    <w:rsid w:val="009E13F7"/>
    <w:rsid w:val="009E2CCA"/>
    <w:rsid w:val="009F1111"/>
    <w:rsid w:val="009F2AE5"/>
    <w:rsid w:val="00A43553"/>
    <w:rsid w:val="00A4355A"/>
    <w:rsid w:val="00A45C45"/>
    <w:rsid w:val="00A47B5E"/>
    <w:rsid w:val="00A47BAB"/>
    <w:rsid w:val="00A63410"/>
    <w:rsid w:val="00A64345"/>
    <w:rsid w:val="00A6710D"/>
    <w:rsid w:val="00A77531"/>
    <w:rsid w:val="00A871AA"/>
    <w:rsid w:val="00A920EE"/>
    <w:rsid w:val="00A9277F"/>
    <w:rsid w:val="00A9353C"/>
    <w:rsid w:val="00AA4481"/>
    <w:rsid w:val="00AA5398"/>
    <w:rsid w:val="00AA5F21"/>
    <w:rsid w:val="00AB0A53"/>
    <w:rsid w:val="00AB2EE9"/>
    <w:rsid w:val="00AD7D3C"/>
    <w:rsid w:val="00AE03B4"/>
    <w:rsid w:val="00AF4D34"/>
    <w:rsid w:val="00AF5276"/>
    <w:rsid w:val="00B04434"/>
    <w:rsid w:val="00B32C25"/>
    <w:rsid w:val="00B362E0"/>
    <w:rsid w:val="00B379BE"/>
    <w:rsid w:val="00B41010"/>
    <w:rsid w:val="00B5091F"/>
    <w:rsid w:val="00B5265B"/>
    <w:rsid w:val="00B72501"/>
    <w:rsid w:val="00B76A52"/>
    <w:rsid w:val="00B81DA5"/>
    <w:rsid w:val="00BC0A3A"/>
    <w:rsid w:val="00BD41BF"/>
    <w:rsid w:val="00BE165E"/>
    <w:rsid w:val="00BF5AD5"/>
    <w:rsid w:val="00C0537D"/>
    <w:rsid w:val="00C26074"/>
    <w:rsid w:val="00C31CA9"/>
    <w:rsid w:val="00C362E6"/>
    <w:rsid w:val="00C73280"/>
    <w:rsid w:val="00C82924"/>
    <w:rsid w:val="00C83B0A"/>
    <w:rsid w:val="00C84641"/>
    <w:rsid w:val="00C9475A"/>
    <w:rsid w:val="00CA082E"/>
    <w:rsid w:val="00CA196F"/>
    <w:rsid w:val="00CB646D"/>
    <w:rsid w:val="00CC076A"/>
    <w:rsid w:val="00CC5B12"/>
    <w:rsid w:val="00CC6923"/>
    <w:rsid w:val="00CD6F3B"/>
    <w:rsid w:val="00CD712A"/>
    <w:rsid w:val="00CE1E0C"/>
    <w:rsid w:val="00CE277E"/>
    <w:rsid w:val="00CF409D"/>
    <w:rsid w:val="00D0617A"/>
    <w:rsid w:val="00D06901"/>
    <w:rsid w:val="00D14A74"/>
    <w:rsid w:val="00D14B80"/>
    <w:rsid w:val="00D56867"/>
    <w:rsid w:val="00D619C4"/>
    <w:rsid w:val="00D64560"/>
    <w:rsid w:val="00D64F5B"/>
    <w:rsid w:val="00D73C3D"/>
    <w:rsid w:val="00D74B8A"/>
    <w:rsid w:val="00D8582B"/>
    <w:rsid w:val="00DB78BE"/>
    <w:rsid w:val="00DD0B5F"/>
    <w:rsid w:val="00DD360E"/>
    <w:rsid w:val="00DD6AB4"/>
    <w:rsid w:val="00DE0E04"/>
    <w:rsid w:val="00DE5AB2"/>
    <w:rsid w:val="00DF55DF"/>
    <w:rsid w:val="00DF6FAD"/>
    <w:rsid w:val="00E02A7F"/>
    <w:rsid w:val="00E07880"/>
    <w:rsid w:val="00E23655"/>
    <w:rsid w:val="00E4244F"/>
    <w:rsid w:val="00E613B4"/>
    <w:rsid w:val="00E6334A"/>
    <w:rsid w:val="00E70893"/>
    <w:rsid w:val="00E74CEC"/>
    <w:rsid w:val="00E75E1C"/>
    <w:rsid w:val="00E76257"/>
    <w:rsid w:val="00E80219"/>
    <w:rsid w:val="00E82621"/>
    <w:rsid w:val="00E92D58"/>
    <w:rsid w:val="00EA74DD"/>
    <w:rsid w:val="00ED17CE"/>
    <w:rsid w:val="00ED41B9"/>
    <w:rsid w:val="00ED59B9"/>
    <w:rsid w:val="00EE64CC"/>
    <w:rsid w:val="00EE7A94"/>
    <w:rsid w:val="00F06779"/>
    <w:rsid w:val="00F07607"/>
    <w:rsid w:val="00F23798"/>
    <w:rsid w:val="00F319E3"/>
    <w:rsid w:val="00F41BB1"/>
    <w:rsid w:val="00F5369B"/>
    <w:rsid w:val="00F55A0E"/>
    <w:rsid w:val="00F740E3"/>
    <w:rsid w:val="00F77C9A"/>
    <w:rsid w:val="00F9069C"/>
    <w:rsid w:val="00F94FAF"/>
    <w:rsid w:val="00F975DD"/>
    <w:rsid w:val="00FA3D23"/>
    <w:rsid w:val="00FB0F8E"/>
    <w:rsid w:val="00FB576C"/>
    <w:rsid w:val="00FD2AA6"/>
    <w:rsid w:val="00FE456B"/>
    <w:rsid w:val="00FE7CAA"/>
    <w:rsid w:val="00FE7E8A"/>
    <w:rsid w:val="00FF1A78"/>
    <w:rsid w:val="00FF6A0B"/>
    <w:rsid w:val="01AC328A"/>
    <w:rsid w:val="025F3F56"/>
    <w:rsid w:val="039821AC"/>
    <w:rsid w:val="04C66B10"/>
    <w:rsid w:val="070A351A"/>
    <w:rsid w:val="08DC577D"/>
    <w:rsid w:val="093E52FD"/>
    <w:rsid w:val="0A741287"/>
    <w:rsid w:val="0A8625D3"/>
    <w:rsid w:val="0CF15D7A"/>
    <w:rsid w:val="0F9A53B5"/>
    <w:rsid w:val="10915B89"/>
    <w:rsid w:val="189B5426"/>
    <w:rsid w:val="18BB2A50"/>
    <w:rsid w:val="1B22448E"/>
    <w:rsid w:val="1E16344F"/>
    <w:rsid w:val="270059CE"/>
    <w:rsid w:val="2C4547C9"/>
    <w:rsid w:val="2DDB4C35"/>
    <w:rsid w:val="311C3684"/>
    <w:rsid w:val="32974559"/>
    <w:rsid w:val="335223D6"/>
    <w:rsid w:val="360A4E39"/>
    <w:rsid w:val="38EF056B"/>
    <w:rsid w:val="394A3014"/>
    <w:rsid w:val="3CD54432"/>
    <w:rsid w:val="3D42082D"/>
    <w:rsid w:val="3EFE4C27"/>
    <w:rsid w:val="409659B5"/>
    <w:rsid w:val="413C37E5"/>
    <w:rsid w:val="41852E78"/>
    <w:rsid w:val="41BF19B6"/>
    <w:rsid w:val="41FA2C51"/>
    <w:rsid w:val="426E3FC7"/>
    <w:rsid w:val="444578FF"/>
    <w:rsid w:val="44723940"/>
    <w:rsid w:val="44BC3B69"/>
    <w:rsid w:val="44CE729D"/>
    <w:rsid w:val="45974F19"/>
    <w:rsid w:val="470A1087"/>
    <w:rsid w:val="480C5B29"/>
    <w:rsid w:val="49F30E16"/>
    <w:rsid w:val="4B3B6117"/>
    <w:rsid w:val="4C444F32"/>
    <w:rsid w:val="4EF822CD"/>
    <w:rsid w:val="50A05224"/>
    <w:rsid w:val="516E7BE7"/>
    <w:rsid w:val="5283009C"/>
    <w:rsid w:val="52A93070"/>
    <w:rsid w:val="55C220B3"/>
    <w:rsid w:val="57C655CF"/>
    <w:rsid w:val="5A7D0C9E"/>
    <w:rsid w:val="5AC41FE0"/>
    <w:rsid w:val="5B187A6A"/>
    <w:rsid w:val="5EBC34AC"/>
    <w:rsid w:val="5F1654C2"/>
    <w:rsid w:val="5F8A740F"/>
    <w:rsid w:val="5FC71D04"/>
    <w:rsid w:val="60875BE1"/>
    <w:rsid w:val="614242FC"/>
    <w:rsid w:val="656213CB"/>
    <w:rsid w:val="67A96C2F"/>
    <w:rsid w:val="689E1934"/>
    <w:rsid w:val="694A4441"/>
    <w:rsid w:val="69897588"/>
    <w:rsid w:val="6C640A2C"/>
    <w:rsid w:val="6C79514F"/>
    <w:rsid w:val="6CC71ADF"/>
    <w:rsid w:val="6CFA1CDB"/>
    <w:rsid w:val="6F1C0809"/>
    <w:rsid w:val="715C7408"/>
    <w:rsid w:val="7277498D"/>
    <w:rsid w:val="73013E9F"/>
    <w:rsid w:val="74151B9C"/>
    <w:rsid w:val="745C7DC6"/>
    <w:rsid w:val="7563754C"/>
    <w:rsid w:val="760932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spacing w:before="100" w:beforeAutospacing="1" w:after="100" w:afterAutospacing="1"/>
      <w:jc w:val="left"/>
      <w:outlineLvl w:val="0"/>
    </w:pPr>
    <w:rPr>
      <w:rFonts w:hint="eastAsia" w:ascii="宋体" w:hAnsi="宋体"/>
      <w:b/>
      <w:bCs/>
      <w:kern w:val="44"/>
      <w:sz w:val="48"/>
      <w:szCs w:val="48"/>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Document Map"/>
    <w:basedOn w:val="1"/>
    <w:link w:val="15"/>
    <w:autoRedefine/>
    <w:unhideWhenUsed/>
    <w:qFormat/>
    <w:uiPriority w:val="99"/>
    <w:rPr>
      <w:rFonts w:ascii="宋体"/>
      <w:sz w:val="18"/>
      <w:szCs w:val="18"/>
    </w:rPr>
  </w:style>
  <w:style w:type="paragraph" w:styleId="4">
    <w:name w:val="annotation text"/>
    <w:basedOn w:val="1"/>
    <w:link w:val="16"/>
    <w:autoRedefine/>
    <w:unhideWhenUsed/>
    <w:qFormat/>
    <w:uiPriority w:val="99"/>
    <w:pPr>
      <w:jc w:val="left"/>
    </w:pPr>
  </w:style>
  <w:style w:type="paragraph" w:styleId="5">
    <w:name w:val="Balloon Text"/>
    <w:basedOn w:val="1"/>
    <w:link w:val="17"/>
    <w:autoRedefine/>
    <w:unhideWhenUsed/>
    <w:qFormat/>
    <w:uiPriority w:val="99"/>
    <w:rPr>
      <w:sz w:val="18"/>
      <w:szCs w:val="18"/>
    </w:rPr>
  </w:style>
  <w:style w:type="paragraph" w:styleId="6">
    <w:name w:val="footer"/>
    <w:basedOn w:val="1"/>
    <w:link w:val="18"/>
    <w:unhideWhenUsed/>
    <w:qFormat/>
    <w:uiPriority w:val="99"/>
    <w:pPr>
      <w:tabs>
        <w:tab w:val="center" w:pos="4153"/>
        <w:tab w:val="right" w:pos="8306"/>
      </w:tabs>
      <w:snapToGrid w:val="0"/>
      <w:jc w:val="left"/>
    </w:pPr>
    <w:rPr>
      <w:sz w:val="18"/>
      <w:szCs w:val="18"/>
    </w:rPr>
  </w:style>
  <w:style w:type="paragraph" w:styleId="7">
    <w:name w:val="header"/>
    <w:basedOn w:val="1"/>
    <w:link w:val="1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annotation subject"/>
    <w:basedOn w:val="4"/>
    <w:next w:val="4"/>
    <w:link w:val="20"/>
    <w:autoRedefine/>
    <w:unhideWhenUsed/>
    <w:qFormat/>
    <w:uiPriority w:val="99"/>
    <w:rPr>
      <w:b/>
      <w:bCs/>
    </w:rPr>
  </w:style>
  <w:style w:type="table" w:styleId="10">
    <w:name w:val="Table Grid"/>
    <w:basedOn w:val="9"/>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autoRedefine/>
    <w:qFormat/>
    <w:uiPriority w:val="22"/>
    <w:rPr>
      <w:b/>
    </w:rPr>
  </w:style>
  <w:style w:type="character" w:styleId="13">
    <w:name w:val="page number"/>
    <w:qFormat/>
    <w:uiPriority w:val="0"/>
  </w:style>
  <w:style w:type="character" w:styleId="14">
    <w:name w:val="annotation reference"/>
    <w:autoRedefine/>
    <w:unhideWhenUsed/>
    <w:qFormat/>
    <w:uiPriority w:val="99"/>
    <w:rPr>
      <w:sz w:val="21"/>
      <w:szCs w:val="21"/>
    </w:rPr>
  </w:style>
  <w:style w:type="character" w:customStyle="1" w:styleId="15">
    <w:name w:val="文档结构图 Char"/>
    <w:link w:val="3"/>
    <w:autoRedefine/>
    <w:semiHidden/>
    <w:qFormat/>
    <w:uiPriority w:val="99"/>
    <w:rPr>
      <w:rFonts w:ascii="宋体"/>
      <w:kern w:val="2"/>
      <w:sz w:val="18"/>
      <w:szCs w:val="18"/>
    </w:rPr>
  </w:style>
  <w:style w:type="character" w:customStyle="1" w:styleId="16">
    <w:name w:val="批注文字 Char"/>
    <w:link w:val="4"/>
    <w:autoRedefine/>
    <w:semiHidden/>
    <w:qFormat/>
    <w:uiPriority w:val="99"/>
    <w:rPr>
      <w:kern w:val="2"/>
      <w:sz w:val="21"/>
      <w:szCs w:val="24"/>
    </w:rPr>
  </w:style>
  <w:style w:type="character" w:customStyle="1" w:styleId="17">
    <w:name w:val="批注框文本 Char"/>
    <w:link w:val="5"/>
    <w:autoRedefine/>
    <w:semiHidden/>
    <w:qFormat/>
    <w:uiPriority w:val="99"/>
    <w:rPr>
      <w:kern w:val="2"/>
      <w:sz w:val="18"/>
      <w:szCs w:val="18"/>
    </w:rPr>
  </w:style>
  <w:style w:type="character" w:customStyle="1" w:styleId="18">
    <w:name w:val="页脚 Char"/>
    <w:link w:val="6"/>
    <w:qFormat/>
    <w:uiPriority w:val="99"/>
    <w:rPr>
      <w:kern w:val="2"/>
      <w:sz w:val="18"/>
      <w:szCs w:val="18"/>
    </w:rPr>
  </w:style>
  <w:style w:type="character" w:customStyle="1" w:styleId="19">
    <w:name w:val="页眉 Char"/>
    <w:link w:val="7"/>
    <w:semiHidden/>
    <w:uiPriority w:val="99"/>
    <w:rPr>
      <w:kern w:val="2"/>
      <w:sz w:val="18"/>
      <w:szCs w:val="18"/>
    </w:rPr>
  </w:style>
  <w:style w:type="character" w:customStyle="1" w:styleId="20">
    <w:name w:val="批注主题 Char"/>
    <w:link w:val="8"/>
    <w:semiHidden/>
    <w:qFormat/>
    <w:uiPriority w:val="99"/>
    <w:rPr>
      <w:b/>
      <w:bCs/>
      <w:kern w:val="2"/>
      <w:sz w:val="21"/>
      <w:szCs w:val="24"/>
    </w:rPr>
  </w:style>
  <w:style w:type="paragraph" w:customStyle="1" w:styleId="21">
    <w:name w:val="列出段落1"/>
    <w:basedOn w:val="1"/>
    <w:autoRedefine/>
    <w:qFormat/>
    <w:uiPriority w:val="34"/>
    <w:pPr>
      <w:ind w:firstLine="420" w:firstLineChars="200"/>
    </w:pPr>
    <w:rPr>
      <w:rFonts w:ascii="Calibri" w:hAnsi="Calibri"/>
      <w:szCs w:val="22"/>
    </w:rPr>
  </w:style>
  <w:style w:type="paragraph" w:customStyle="1" w:styleId="22">
    <w:name w:val="修订1"/>
    <w:autoRedefine/>
    <w:unhideWhenUsed/>
    <w:qFormat/>
    <w:uiPriority w:val="99"/>
    <w:rPr>
      <w:rFonts w:ascii="Times New Roman" w:hAnsi="Times New Roman" w:eastAsia="宋体" w:cs="Times New Roman"/>
      <w:kern w:val="2"/>
      <w:sz w:val="21"/>
      <w:szCs w:val="24"/>
      <w:lang w:val="en-US" w:eastAsia="zh-CN" w:bidi="ar-SA"/>
    </w:rPr>
  </w:style>
  <w:style w:type="paragraph" w:customStyle="1" w:styleId="23">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187C5-2012-4B6B-A35A-314569FCD40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1445</Words>
  <Characters>1758</Characters>
  <Lines>13</Lines>
  <Paragraphs>3</Paragraphs>
  <TotalTime>4</TotalTime>
  <ScaleCrop>false</ScaleCrop>
  <LinksUpToDate>false</LinksUpToDate>
  <CharactersWithSpaces>1811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2023-08-28T08:26:00Z</dcterms:created>
  <dc:creator>lenovo</dc:creator>
  <cp:lastModifiedBy>lenovo</cp:lastModifiedBy>
  <cp:lastPrinted>2019-12-05T07:53:00Z</cp:lastPrinted>
  <dcterms:modified xsi:type="dcterms:W3CDTF">2024-11-01T07:50:05Z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KSOSaveFontToCloudKey">
    <vt:lpwstr>550453206_embed</vt:lpwstr>
  </property>
  <property fmtid="{D5CDD505-2E9C-101B-9397-08002B2CF9AE}" pid="4" name="ICV">
    <vt:lpwstr>44D84A260D6946148F54F05709809CB5_13</vt:lpwstr>
  </property>
</Properties>
</file>