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89" w:rsidRDefault="00751F89" w:rsidP="00751F89">
      <w:pPr>
        <w:snapToGrid w:val="0"/>
        <w:spacing w:line="360" w:lineRule="auto"/>
        <w:jc w:val="center"/>
        <w:rPr>
          <w:rFonts w:ascii="方正小标宋简体" w:eastAsia="方正小标宋简体" w:hAnsi="仿宋" w:cs="方正仿宋简体"/>
          <w:color w:val="000000"/>
          <w:sz w:val="32"/>
          <w:szCs w:val="32"/>
        </w:rPr>
      </w:pPr>
      <w:r w:rsidRPr="00D36D6C">
        <w:rPr>
          <w:rFonts w:ascii="方正小标宋简体" w:eastAsia="方正小标宋简体" w:hAnsi="仿宋" w:cs="方正仿宋简体" w:hint="eastAsia"/>
          <w:color w:val="000000"/>
          <w:sz w:val="32"/>
          <w:szCs w:val="32"/>
        </w:rPr>
        <w:t>202</w:t>
      </w:r>
      <w:r>
        <w:rPr>
          <w:rFonts w:ascii="方正小标宋简体" w:eastAsia="方正小标宋简体" w:hAnsi="仿宋" w:cs="方正仿宋简体"/>
          <w:color w:val="000000"/>
          <w:sz w:val="32"/>
          <w:szCs w:val="32"/>
        </w:rPr>
        <w:t>4</w:t>
      </w:r>
      <w:r w:rsidRPr="00D36D6C">
        <w:rPr>
          <w:rFonts w:ascii="方正小标宋简体" w:eastAsia="方正小标宋简体" w:hAnsi="仿宋" w:cs="方正仿宋简体" w:hint="eastAsia"/>
          <w:color w:val="000000"/>
          <w:sz w:val="32"/>
          <w:szCs w:val="32"/>
        </w:rPr>
        <w:t>年</w:t>
      </w:r>
      <w:r>
        <w:rPr>
          <w:rFonts w:ascii="方正小标宋简体" w:eastAsia="方正小标宋简体" w:hAnsi="仿宋" w:cs="方正仿宋简体" w:hint="eastAsia"/>
          <w:color w:val="000000"/>
          <w:sz w:val="32"/>
          <w:szCs w:val="32"/>
        </w:rPr>
        <w:t>洛江区</w:t>
      </w:r>
      <w:r w:rsidRPr="001D7599">
        <w:rPr>
          <w:rFonts w:ascii="方正小标宋简体" w:eastAsia="方正小标宋简体" w:hAnsi="仿宋" w:cs="方正仿宋简体" w:hint="eastAsia"/>
          <w:color w:val="000000"/>
          <w:sz w:val="32"/>
          <w:szCs w:val="32"/>
        </w:rPr>
        <w:t>产品质量监督抽查实施细则</w:t>
      </w:r>
    </w:p>
    <w:p w:rsidR="00E47035" w:rsidRDefault="00D31BEC" w:rsidP="001A6B08">
      <w:pPr>
        <w:adjustRightInd w:val="0"/>
        <w:snapToGrid w:val="0"/>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床垫</w:t>
      </w:r>
    </w:p>
    <w:p w:rsidR="00811619" w:rsidRDefault="00811619" w:rsidP="00811619">
      <w:pPr>
        <w:snapToGrid w:val="0"/>
        <w:spacing w:line="440" w:lineRule="exact"/>
        <w:rPr>
          <w:rFonts w:ascii="黑体" w:eastAsia="黑体" w:hAnsi="黑体"/>
          <w:szCs w:val="21"/>
        </w:rPr>
      </w:pPr>
      <w:r>
        <w:rPr>
          <w:rFonts w:ascii="黑体" w:eastAsia="黑体" w:hAnsi="黑体" w:hint="eastAsia"/>
          <w:szCs w:val="21"/>
        </w:rPr>
        <w:t>1.</w:t>
      </w:r>
      <w:r>
        <w:rPr>
          <w:rFonts w:ascii="黑体" w:eastAsia="黑体" w:hAnsi="黑体"/>
          <w:szCs w:val="21"/>
        </w:rPr>
        <w:t>抽样方法</w:t>
      </w:r>
    </w:p>
    <w:p w:rsidR="00811619" w:rsidRDefault="00811619" w:rsidP="00811619">
      <w:pPr>
        <w:snapToGrid w:val="0"/>
        <w:spacing w:line="440" w:lineRule="exact"/>
        <w:ind w:firstLineChars="200" w:firstLine="420"/>
        <w:rPr>
          <w:szCs w:val="21"/>
        </w:rPr>
      </w:pPr>
      <w:r>
        <w:rPr>
          <w:szCs w:val="21"/>
        </w:rPr>
        <w:t>以随机抽样的方式在被抽样生产者、销售者的待销产品中抽取。</w:t>
      </w:r>
    </w:p>
    <w:p w:rsidR="00811619" w:rsidRDefault="00811619" w:rsidP="00811619">
      <w:pPr>
        <w:snapToGrid w:val="0"/>
        <w:spacing w:line="440" w:lineRule="exact"/>
        <w:ind w:firstLineChars="200" w:firstLine="420"/>
        <w:rPr>
          <w:szCs w:val="21"/>
        </w:rPr>
      </w:pPr>
      <w:r>
        <w:rPr>
          <w:szCs w:val="21"/>
        </w:rPr>
        <w:t>随机数一般可使用随机数表等方法产生。</w:t>
      </w:r>
    </w:p>
    <w:p w:rsidR="00811619" w:rsidRDefault="00811619" w:rsidP="00811619">
      <w:pPr>
        <w:snapToGrid w:val="0"/>
        <w:spacing w:line="440" w:lineRule="exact"/>
        <w:ind w:firstLineChars="200" w:firstLine="420"/>
        <w:rPr>
          <w:szCs w:val="21"/>
        </w:rPr>
      </w:pPr>
      <w:r>
        <w:rPr>
          <w:szCs w:val="21"/>
        </w:rPr>
        <w:t>每批次产品抽取样品</w:t>
      </w:r>
      <w:r>
        <w:rPr>
          <w:szCs w:val="21"/>
        </w:rPr>
        <w:t>2</w:t>
      </w:r>
      <w:r>
        <w:rPr>
          <w:szCs w:val="21"/>
        </w:rPr>
        <w:t>件，其中</w:t>
      </w:r>
      <w:r>
        <w:rPr>
          <w:szCs w:val="21"/>
        </w:rPr>
        <w:t>1</w:t>
      </w:r>
      <w:r>
        <w:rPr>
          <w:szCs w:val="21"/>
        </w:rPr>
        <w:t>件作为检验样品，</w:t>
      </w:r>
      <w:r>
        <w:rPr>
          <w:szCs w:val="21"/>
        </w:rPr>
        <w:t>1</w:t>
      </w:r>
      <w:r>
        <w:rPr>
          <w:szCs w:val="21"/>
        </w:rPr>
        <w:t>件作为备用样品。</w:t>
      </w:r>
    </w:p>
    <w:p w:rsidR="00811619" w:rsidRDefault="00811619" w:rsidP="00811619">
      <w:pPr>
        <w:snapToGrid w:val="0"/>
        <w:spacing w:line="440" w:lineRule="exact"/>
        <w:rPr>
          <w:rFonts w:ascii="黑体" w:eastAsia="黑体" w:hAnsi="黑体"/>
          <w:szCs w:val="21"/>
        </w:rPr>
      </w:pPr>
      <w:r>
        <w:rPr>
          <w:rFonts w:ascii="黑体" w:eastAsia="黑体" w:hAnsi="黑体"/>
          <w:szCs w:val="21"/>
        </w:rPr>
        <w:t>2 检验依据</w:t>
      </w:r>
    </w:p>
    <w:p w:rsidR="007804C8" w:rsidRDefault="007804C8" w:rsidP="007804C8">
      <w:pPr>
        <w:widowControl/>
        <w:ind w:firstLineChars="100" w:firstLine="220"/>
        <w:jc w:val="left"/>
        <w:rPr>
          <w:rFonts w:ascii="宋体" w:hAnsi="宋体" w:cs="宋体"/>
          <w:color w:val="000000"/>
          <w:kern w:val="0"/>
          <w:sz w:val="22"/>
        </w:rPr>
      </w:pPr>
      <w:bookmarkStart w:id="0" w:name="_GoBack"/>
      <w:bookmarkEnd w:id="0"/>
      <w:r w:rsidRPr="00A31281">
        <w:rPr>
          <w:rFonts w:ascii="宋体" w:hAnsi="宋体" w:cs="宋体"/>
          <w:color w:val="000000"/>
          <w:kern w:val="0"/>
          <w:sz w:val="22"/>
        </w:rPr>
        <w:t>检验项目见表 1</w:t>
      </w:r>
      <w:r>
        <w:rPr>
          <w:rFonts w:ascii="等线" w:eastAsia="等线" w:hAnsi="等线" w:cs="宋体" w:hint="eastAsia"/>
          <w:color w:val="000000"/>
          <w:kern w:val="0"/>
          <w:sz w:val="22"/>
        </w:rPr>
        <w:t>～</w:t>
      </w:r>
      <w:r w:rsidRPr="00A31281">
        <w:rPr>
          <w:rFonts w:ascii="宋体" w:hAnsi="宋体" w:cs="宋体"/>
          <w:color w:val="000000"/>
          <w:kern w:val="0"/>
          <w:sz w:val="22"/>
        </w:rPr>
        <w:t>表</w:t>
      </w:r>
      <w:r>
        <w:rPr>
          <w:rFonts w:ascii="宋体" w:hAnsi="宋体" w:cs="宋体"/>
          <w:color w:val="000000"/>
          <w:kern w:val="0"/>
          <w:sz w:val="22"/>
        </w:rPr>
        <w:t xml:space="preserve"> 2</w:t>
      </w:r>
    </w:p>
    <w:p w:rsidR="007804C8" w:rsidRPr="007804C8" w:rsidRDefault="007804C8" w:rsidP="00811619">
      <w:pPr>
        <w:snapToGrid w:val="0"/>
        <w:spacing w:line="440" w:lineRule="exact"/>
        <w:rPr>
          <w:rFonts w:ascii="黑体" w:eastAsia="黑体" w:hAnsi="黑体" w:hint="eastAsia"/>
          <w:szCs w:val="21"/>
        </w:rPr>
      </w:pPr>
    </w:p>
    <w:p w:rsidR="00D31BEC" w:rsidRDefault="00D31BEC" w:rsidP="00D31BEC">
      <w:pPr>
        <w:snapToGrid w:val="0"/>
        <w:spacing w:line="440" w:lineRule="exact"/>
        <w:ind w:firstLineChars="200" w:firstLine="420"/>
        <w:jc w:val="center"/>
        <w:rPr>
          <w:color w:val="000000"/>
          <w:szCs w:val="21"/>
        </w:rPr>
      </w:pPr>
      <w:r>
        <w:rPr>
          <w:color w:val="000000"/>
          <w:szCs w:val="21"/>
        </w:rPr>
        <w:t>表</w:t>
      </w:r>
      <w:r w:rsidR="005C37B9">
        <w:rPr>
          <w:rFonts w:hint="eastAsia"/>
          <w:color w:val="000000"/>
          <w:szCs w:val="21"/>
        </w:rPr>
        <w:t>1</w:t>
      </w:r>
      <w:r>
        <w:rPr>
          <w:color w:val="000000"/>
          <w:szCs w:val="21"/>
        </w:rPr>
        <w:t xml:space="preserve"> </w:t>
      </w:r>
      <w:r>
        <w:rPr>
          <w:color w:val="000000"/>
          <w:szCs w:val="21"/>
        </w:rPr>
        <w:t>弹簧软床垫（</w:t>
      </w:r>
      <w:r>
        <w:rPr>
          <w:color w:val="000000"/>
          <w:szCs w:val="21"/>
        </w:rPr>
        <w:t>QB/T 1952.2—2023</w:t>
      </w:r>
      <w:r>
        <w:rPr>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009"/>
        <w:gridCol w:w="625"/>
        <w:gridCol w:w="2059"/>
        <w:gridCol w:w="4132"/>
      </w:tblGrid>
      <w:tr w:rsidR="00D31BEC" w:rsidTr="00EE385F">
        <w:tc>
          <w:tcPr>
            <w:tcW w:w="732" w:type="dxa"/>
          </w:tcPr>
          <w:p w:rsidR="00D31BEC" w:rsidRDefault="00D31BEC" w:rsidP="00EE385F">
            <w:pPr>
              <w:snapToGrid w:val="0"/>
              <w:spacing w:line="440" w:lineRule="exact"/>
              <w:jc w:val="center"/>
              <w:rPr>
                <w:rFonts w:eastAsia="黑体"/>
                <w:color w:val="000000"/>
                <w:szCs w:val="21"/>
              </w:rPr>
            </w:pPr>
            <w:r>
              <w:rPr>
                <w:color w:val="000000"/>
                <w:szCs w:val="21"/>
              </w:rPr>
              <w:t>序号</w:t>
            </w:r>
          </w:p>
        </w:tc>
        <w:tc>
          <w:tcPr>
            <w:tcW w:w="3974" w:type="dxa"/>
            <w:gridSpan w:val="3"/>
          </w:tcPr>
          <w:p w:rsidR="00D31BEC" w:rsidRDefault="00D31BEC" w:rsidP="00EE385F">
            <w:pPr>
              <w:snapToGrid w:val="0"/>
              <w:spacing w:line="440" w:lineRule="exact"/>
              <w:jc w:val="center"/>
              <w:rPr>
                <w:rFonts w:eastAsia="黑体"/>
                <w:color w:val="000000"/>
                <w:szCs w:val="21"/>
              </w:rPr>
            </w:pPr>
            <w:r>
              <w:rPr>
                <w:color w:val="000000"/>
                <w:szCs w:val="21"/>
              </w:rPr>
              <w:t>检验项目</w:t>
            </w:r>
          </w:p>
        </w:tc>
        <w:tc>
          <w:tcPr>
            <w:tcW w:w="4466" w:type="dxa"/>
          </w:tcPr>
          <w:p w:rsidR="00D31BEC" w:rsidRDefault="00D31BEC" w:rsidP="00EE385F">
            <w:pPr>
              <w:snapToGrid w:val="0"/>
              <w:spacing w:line="440" w:lineRule="exact"/>
              <w:jc w:val="center"/>
              <w:rPr>
                <w:rFonts w:eastAsia="黑体"/>
                <w:color w:val="000000"/>
                <w:szCs w:val="21"/>
              </w:rPr>
            </w:pPr>
            <w:r>
              <w:rPr>
                <w:color w:val="000000"/>
                <w:szCs w:val="21"/>
              </w:rPr>
              <w:t>检验方法</w:t>
            </w:r>
          </w:p>
        </w:tc>
      </w:tr>
      <w:tr w:rsidR="00D31BEC" w:rsidTr="00EE385F">
        <w:trPr>
          <w:trHeight w:val="235"/>
        </w:trPr>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w:t>
            </w:r>
          </w:p>
        </w:tc>
        <w:tc>
          <w:tcPr>
            <w:tcW w:w="1083" w:type="dxa"/>
            <w:vMerge w:val="restart"/>
            <w:vAlign w:val="center"/>
          </w:tcPr>
          <w:p w:rsidR="00E91696" w:rsidRDefault="00D31BEC" w:rsidP="00EE385F">
            <w:pPr>
              <w:jc w:val="center"/>
              <w:rPr>
                <w:color w:val="000000"/>
                <w:szCs w:val="21"/>
              </w:rPr>
            </w:pPr>
            <w:r>
              <w:rPr>
                <w:color w:val="000000"/>
                <w:szCs w:val="21"/>
              </w:rPr>
              <w:t>外观</w:t>
            </w:r>
          </w:p>
          <w:p w:rsidR="00D31BEC" w:rsidRDefault="00D31BEC" w:rsidP="00EE385F">
            <w:pPr>
              <w:jc w:val="center"/>
              <w:rPr>
                <w:color w:val="000000"/>
                <w:szCs w:val="21"/>
              </w:rPr>
            </w:pPr>
            <w:r>
              <w:rPr>
                <w:color w:val="000000"/>
                <w:szCs w:val="21"/>
              </w:rPr>
              <w:t>性能</w:t>
            </w:r>
          </w:p>
        </w:tc>
        <w:tc>
          <w:tcPr>
            <w:tcW w:w="2891" w:type="dxa"/>
            <w:gridSpan w:val="2"/>
            <w:vAlign w:val="center"/>
          </w:tcPr>
          <w:p w:rsidR="00D31BEC" w:rsidRDefault="00D31BEC" w:rsidP="00EE385F">
            <w:pPr>
              <w:jc w:val="center"/>
              <w:rPr>
                <w:color w:val="000000"/>
                <w:szCs w:val="21"/>
              </w:rPr>
            </w:pPr>
            <w:r>
              <w:rPr>
                <w:color w:val="000000"/>
                <w:szCs w:val="21"/>
              </w:rPr>
              <w:t>复合面料</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rPr>
          <w:trHeight w:val="235"/>
        </w:trPr>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2</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缝边</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rPr>
          <w:trHeight w:val="235"/>
        </w:trPr>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3</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拉链</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4</w:t>
            </w:r>
          </w:p>
        </w:tc>
        <w:tc>
          <w:tcPr>
            <w:tcW w:w="1083" w:type="dxa"/>
            <w:vMerge w:val="restart"/>
            <w:vAlign w:val="center"/>
          </w:tcPr>
          <w:p w:rsidR="00E91696" w:rsidRDefault="00D31BEC" w:rsidP="00EE385F">
            <w:pPr>
              <w:jc w:val="center"/>
              <w:rPr>
                <w:color w:val="000000"/>
                <w:szCs w:val="21"/>
              </w:rPr>
            </w:pPr>
            <w:r>
              <w:rPr>
                <w:color w:val="000000"/>
                <w:szCs w:val="21"/>
              </w:rPr>
              <w:t>安全</w:t>
            </w:r>
          </w:p>
          <w:p w:rsidR="00D31BEC" w:rsidRDefault="00D31BEC" w:rsidP="00EE385F">
            <w:pPr>
              <w:jc w:val="center"/>
              <w:rPr>
                <w:color w:val="000000"/>
                <w:szCs w:val="21"/>
              </w:rPr>
            </w:pPr>
            <w:r>
              <w:rPr>
                <w:color w:val="000000"/>
                <w:szCs w:val="21"/>
              </w:rPr>
              <w:t>性能</w:t>
            </w:r>
          </w:p>
        </w:tc>
        <w:tc>
          <w:tcPr>
            <w:tcW w:w="2891" w:type="dxa"/>
            <w:gridSpan w:val="2"/>
            <w:vAlign w:val="center"/>
          </w:tcPr>
          <w:p w:rsidR="00D31BEC" w:rsidRDefault="00D31BEC" w:rsidP="00EE385F">
            <w:pPr>
              <w:jc w:val="center"/>
              <w:rPr>
                <w:color w:val="000000"/>
                <w:szCs w:val="21"/>
              </w:rPr>
            </w:pPr>
            <w:r>
              <w:rPr>
                <w:color w:val="000000"/>
                <w:szCs w:val="21"/>
              </w:rPr>
              <w:t>霉变</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5</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害虫及其污染物</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6</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废旧制品</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7</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纤维性工业下脚料或用其加工的再生纤维状物质</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8</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杂物</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9</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异味</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10</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甲醛释放量</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11</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苯释放量</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12</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甲苯释放量</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13</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二甲苯（邻、间、对二甲苯之和）释放量</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14</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总挥发性有机化合物</w:t>
            </w:r>
            <w:r>
              <w:rPr>
                <w:color w:val="000000"/>
                <w:szCs w:val="21"/>
              </w:rPr>
              <w:t>(TVOC)</w:t>
            </w:r>
            <w:r>
              <w:rPr>
                <w:color w:val="000000"/>
                <w:szCs w:val="21"/>
              </w:rPr>
              <w:t>释放量</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15</w:t>
            </w:r>
          </w:p>
        </w:tc>
        <w:tc>
          <w:tcPr>
            <w:tcW w:w="1083" w:type="dxa"/>
            <w:vMerge/>
            <w:vAlign w:val="center"/>
          </w:tcPr>
          <w:p w:rsidR="00D31BEC" w:rsidRDefault="00D31BEC" w:rsidP="00EE385F">
            <w:pPr>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弹簧</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16</w:t>
            </w:r>
          </w:p>
        </w:tc>
        <w:tc>
          <w:tcPr>
            <w:tcW w:w="3974" w:type="dxa"/>
            <w:gridSpan w:val="3"/>
            <w:vAlign w:val="center"/>
          </w:tcPr>
          <w:p w:rsidR="00D31BEC" w:rsidRDefault="00D31BEC" w:rsidP="00EE385F">
            <w:pPr>
              <w:jc w:val="center"/>
              <w:rPr>
                <w:color w:val="000000"/>
                <w:szCs w:val="21"/>
              </w:rPr>
            </w:pPr>
            <w:r>
              <w:rPr>
                <w:color w:val="000000"/>
                <w:szCs w:val="21"/>
              </w:rPr>
              <w:t>阻燃性</w:t>
            </w:r>
          </w:p>
        </w:tc>
        <w:tc>
          <w:tcPr>
            <w:tcW w:w="4466" w:type="dxa"/>
            <w:vAlign w:val="center"/>
          </w:tcPr>
          <w:p w:rsidR="00D31BEC" w:rsidRPr="00D31BEC" w:rsidRDefault="00D31BEC" w:rsidP="00D31BEC">
            <w:pPr>
              <w:jc w:val="center"/>
              <w:textAlignment w:val="center"/>
              <w:rPr>
                <w:szCs w:val="21"/>
              </w:rPr>
            </w:pPr>
            <w:r>
              <w:rPr>
                <w:szCs w:val="21"/>
              </w:rPr>
              <w:t>GB 17927.1—2011</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17</w:t>
            </w:r>
          </w:p>
        </w:tc>
        <w:tc>
          <w:tcPr>
            <w:tcW w:w="1083" w:type="dxa"/>
            <w:vMerge w:val="restart"/>
            <w:vAlign w:val="center"/>
          </w:tcPr>
          <w:p w:rsidR="00E91696" w:rsidRDefault="00D31BEC" w:rsidP="00EE385F">
            <w:pPr>
              <w:snapToGrid w:val="0"/>
              <w:spacing w:line="440" w:lineRule="exact"/>
              <w:jc w:val="center"/>
              <w:rPr>
                <w:color w:val="000000"/>
                <w:szCs w:val="21"/>
              </w:rPr>
            </w:pPr>
            <w:r>
              <w:rPr>
                <w:color w:val="000000"/>
                <w:szCs w:val="21"/>
              </w:rPr>
              <w:t>理化</w:t>
            </w:r>
          </w:p>
          <w:p w:rsidR="00D31BEC" w:rsidRDefault="00D31BEC" w:rsidP="00EE385F">
            <w:pPr>
              <w:snapToGrid w:val="0"/>
              <w:spacing w:line="440" w:lineRule="exact"/>
              <w:jc w:val="center"/>
              <w:rPr>
                <w:rFonts w:eastAsia="黑体"/>
                <w:color w:val="000000"/>
                <w:szCs w:val="21"/>
              </w:rPr>
            </w:pPr>
            <w:r>
              <w:rPr>
                <w:color w:val="000000"/>
                <w:szCs w:val="21"/>
              </w:rPr>
              <w:lastRenderedPageBreak/>
              <w:t>性能</w:t>
            </w:r>
          </w:p>
        </w:tc>
        <w:tc>
          <w:tcPr>
            <w:tcW w:w="650" w:type="dxa"/>
            <w:vAlign w:val="center"/>
          </w:tcPr>
          <w:p w:rsidR="00D31BEC" w:rsidRDefault="00D31BEC" w:rsidP="00EE385F">
            <w:pPr>
              <w:jc w:val="center"/>
              <w:rPr>
                <w:color w:val="000000"/>
                <w:szCs w:val="21"/>
              </w:rPr>
            </w:pPr>
            <w:r>
              <w:rPr>
                <w:color w:val="000000"/>
                <w:szCs w:val="21"/>
              </w:rPr>
              <w:lastRenderedPageBreak/>
              <w:t>复合</w:t>
            </w:r>
          </w:p>
          <w:p w:rsidR="00D31BEC" w:rsidRDefault="00D31BEC" w:rsidP="00EE385F">
            <w:pPr>
              <w:jc w:val="center"/>
              <w:rPr>
                <w:color w:val="000000"/>
                <w:szCs w:val="21"/>
              </w:rPr>
            </w:pPr>
            <w:r>
              <w:rPr>
                <w:color w:val="000000"/>
                <w:szCs w:val="21"/>
              </w:rPr>
              <w:lastRenderedPageBreak/>
              <w:t>面料</w:t>
            </w:r>
          </w:p>
        </w:tc>
        <w:tc>
          <w:tcPr>
            <w:tcW w:w="2241" w:type="dxa"/>
            <w:vAlign w:val="center"/>
          </w:tcPr>
          <w:p w:rsidR="00D31BEC" w:rsidRDefault="00D31BEC" w:rsidP="00EE385F">
            <w:pPr>
              <w:jc w:val="center"/>
              <w:rPr>
                <w:color w:val="000000"/>
                <w:szCs w:val="21"/>
              </w:rPr>
            </w:pPr>
            <w:r>
              <w:rPr>
                <w:color w:val="000000"/>
                <w:szCs w:val="21"/>
              </w:rPr>
              <w:lastRenderedPageBreak/>
              <w:t>面料</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lastRenderedPageBreak/>
              <w:t>18</w:t>
            </w:r>
          </w:p>
        </w:tc>
        <w:tc>
          <w:tcPr>
            <w:tcW w:w="1083" w:type="dxa"/>
            <w:vMerge/>
          </w:tcPr>
          <w:p w:rsidR="00D31BEC" w:rsidRDefault="00D31BEC" w:rsidP="00EE385F">
            <w:pPr>
              <w:snapToGrid w:val="0"/>
              <w:spacing w:line="440" w:lineRule="exact"/>
              <w:rPr>
                <w:rFonts w:eastAsia="黑体"/>
                <w:color w:val="000000"/>
                <w:szCs w:val="21"/>
              </w:rPr>
            </w:pPr>
          </w:p>
        </w:tc>
        <w:tc>
          <w:tcPr>
            <w:tcW w:w="650" w:type="dxa"/>
            <w:vMerge w:val="restart"/>
            <w:vAlign w:val="center"/>
          </w:tcPr>
          <w:p w:rsidR="00D31BEC" w:rsidRDefault="00D31BEC" w:rsidP="00EE385F">
            <w:pPr>
              <w:jc w:val="center"/>
              <w:rPr>
                <w:color w:val="000000"/>
                <w:szCs w:val="21"/>
              </w:rPr>
            </w:pPr>
            <w:r>
              <w:rPr>
                <w:color w:val="000000"/>
                <w:szCs w:val="21"/>
              </w:rPr>
              <w:t>铺垫料</w:t>
            </w:r>
            <w:r>
              <w:rPr>
                <w:color w:val="000000"/>
                <w:szCs w:val="21"/>
              </w:rPr>
              <w:t xml:space="preserve"> </w:t>
            </w:r>
          </w:p>
        </w:tc>
        <w:tc>
          <w:tcPr>
            <w:tcW w:w="2241" w:type="dxa"/>
            <w:vAlign w:val="center"/>
          </w:tcPr>
          <w:p w:rsidR="00D31BEC" w:rsidRDefault="00D31BEC" w:rsidP="00EE385F">
            <w:pPr>
              <w:jc w:val="center"/>
              <w:rPr>
                <w:color w:val="000000"/>
                <w:szCs w:val="21"/>
              </w:rPr>
            </w:pPr>
            <w:r>
              <w:rPr>
                <w:color w:val="000000"/>
                <w:szCs w:val="21"/>
              </w:rPr>
              <w:t>毡垫</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19</w:t>
            </w:r>
          </w:p>
        </w:tc>
        <w:tc>
          <w:tcPr>
            <w:tcW w:w="1083" w:type="dxa"/>
            <w:vMerge/>
          </w:tcPr>
          <w:p w:rsidR="00D31BEC" w:rsidRDefault="00D31BEC" w:rsidP="00EE385F">
            <w:pPr>
              <w:snapToGrid w:val="0"/>
              <w:spacing w:line="440" w:lineRule="exact"/>
              <w:rPr>
                <w:rFonts w:eastAsia="黑体"/>
                <w:color w:val="000000"/>
                <w:szCs w:val="21"/>
              </w:rPr>
            </w:pPr>
          </w:p>
        </w:tc>
        <w:tc>
          <w:tcPr>
            <w:tcW w:w="650" w:type="dxa"/>
            <w:vMerge/>
            <w:vAlign w:val="center"/>
          </w:tcPr>
          <w:p w:rsidR="00D31BEC" w:rsidRDefault="00D31BEC" w:rsidP="00EE385F">
            <w:pPr>
              <w:jc w:val="center"/>
              <w:rPr>
                <w:color w:val="000000"/>
                <w:szCs w:val="21"/>
              </w:rPr>
            </w:pPr>
          </w:p>
        </w:tc>
        <w:tc>
          <w:tcPr>
            <w:tcW w:w="2241" w:type="dxa"/>
            <w:vAlign w:val="center"/>
          </w:tcPr>
          <w:p w:rsidR="00D31BEC" w:rsidRDefault="00D31BEC" w:rsidP="00EE385F">
            <w:pPr>
              <w:jc w:val="center"/>
              <w:rPr>
                <w:color w:val="000000"/>
                <w:szCs w:val="21"/>
              </w:rPr>
            </w:pPr>
            <w:r>
              <w:rPr>
                <w:color w:val="000000"/>
                <w:szCs w:val="21"/>
              </w:rPr>
              <w:t>软质泡沫塑料垫</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20</w:t>
            </w:r>
          </w:p>
        </w:tc>
        <w:tc>
          <w:tcPr>
            <w:tcW w:w="1083" w:type="dxa"/>
            <w:vMerge/>
          </w:tcPr>
          <w:p w:rsidR="00D31BEC" w:rsidRDefault="00D31BEC" w:rsidP="00EE385F">
            <w:pPr>
              <w:snapToGrid w:val="0"/>
              <w:spacing w:line="440" w:lineRule="exact"/>
              <w:rPr>
                <w:rFonts w:eastAsia="黑体"/>
                <w:color w:val="000000"/>
                <w:szCs w:val="21"/>
              </w:rPr>
            </w:pPr>
          </w:p>
        </w:tc>
        <w:tc>
          <w:tcPr>
            <w:tcW w:w="650" w:type="dxa"/>
            <w:vMerge/>
            <w:vAlign w:val="center"/>
          </w:tcPr>
          <w:p w:rsidR="00D31BEC" w:rsidRDefault="00D31BEC" w:rsidP="00EE385F">
            <w:pPr>
              <w:jc w:val="center"/>
              <w:rPr>
                <w:color w:val="000000"/>
                <w:szCs w:val="21"/>
              </w:rPr>
            </w:pPr>
          </w:p>
        </w:tc>
        <w:tc>
          <w:tcPr>
            <w:tcW w:w="2241" w:type="dxa"/>
            <w:vAlign w:val="center"/>
          </w:tcPr>
          <w:p w:rsidR="00D31BEC" w:rsidRDefault="00D31BEC" w:rsidP="00EE385F">
            <w:pPr>
              <w:jc w:val="center"/>
              <w:rPr>
                <w:color w:val="000000"/>
                <w:szCs w:val="21"/>
              </w:rPr>
            </w:pPr>
            <w:r>
              <w:rPr>
                <w:color w:val="000000"/>
                <w:szCs w:val="21"/>
              </w:rPr>
              <w:t>乳胶（乳胶棉）垫</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21</w:t>
            </w:r>
          </w:p>
        </w:tc>
        <w:tc>
          <w:tcPr>
            <w:tcW w:w="1083" w:type="dxa"/>
            <w:vMerge/>
          </w:tcPr>
          <w:p w:rsidR="00D31BEC" w:rsidRDefault="00D31BEC" w:rsidP="00EE385F">
            <w:pPr>
              <w:snapToGrid w:val="0"/>
              <w:spacing w:line="440" w:lineRule="exact"/>
              <w:rPr>
                <w:rFonts w:eastAsia="黑体"/>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弹簧芯</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22</w:t>
            </w:r>
          </w:p>
        </w:tc>
        <w:tc>
          <w:tcPr>
            <w:tcW w:w="1083" w:type="dxa"/>
            <w:vMerge w:val="restart"/>
          </w:tcPr>
          <w:p w:rsidR="00D31BEC" w:rsidRDefault="00D31BEC" w:rsidP="00EE385F">
            <w:pPr>
              <w:snapToGrid w:val="0"/>
              <w:spacing w:line="440" w:lineRule="exact"/>
              <w:jc w:val="center"/>
              <w:rPr>
                <w:color w:val="000000"/>
                <w:szCs w:val="21"/>
              </w:rPr>
            </w:pPr>
            <w:r>
              <w:rPr>
                <w:color w:val="000000"/>
                <w:szCs w:val="21"/>
              </w:rPr>
              <w:t>耐久性</w:t>
            </w:r>
          </w:p>
        </w:tc>
        <w:tc>
          <w:tcPr>
            <w:tcW w:w="2891" w:type="dxa"/>
            <w:gridSpan w:val="2"/>
            <w:vAlign w:val="center"/>
          </w:tcPr>
          <w:p w:rsidR="00D31BEC" w:rsidRDefault="00D31BEC" w:rsidP="00EE385F">
            <w:pPr>
              <w:jc w:val="center"/>
              <w:rPr>
                <w:color w:val="000000"/>
                <w:szCs w:val="21"/>
              </w:rPr>
            </w:pPr>
            <w:r>
              <w:rPr>
                <w:color w:val="000000"/>
                <w:szCs w:val="21"/>
              </w:rPr>
              <w:t>垫面（睡眠区域中心）</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732" w:type="dxa"/>
          </w:tcPr>
          <w:p w:rsidR="00D31BEC" w:rsidRDefault="00D31BEC" w:rsidP="00EE385F">
            <w:pPr>
              <w:snapToGrid w:val="0"/>
              <w:spacing w:line="440" w:lineRule="exact"/>
              <w:jc w:val="center"/>
              <w:rPr>
                <w:rFonts w:eastAsia="黑体"/>
                <w:color w:val="000000"/>
                <w:szCs w:val="21"/>
              </w:rPr>
            </w:pPr>
            <w:r>
              <w:rPr>
                <w:rFonts w:eastAsia="黑体"/>
                <w:color w:val="000000"/>
                <w:szCs w:val="21"/>
              </w:rPr>
              <w:t>23</w:t>
            </w:r>
          </w:p>
        </w:tc>
        <w:tc>
          <w:tcPr>
            <w:tcW w:w="1083" w:type="dxa"/>
            <w:vMerge/>
          </w:tcPr>
          <w:p w:rsidR="00D31BEC" w:rsidRDefault="00D31BEC" w:rsidP="00EE385F">
            <w:pPr>
              <w:snapToGrid w:val="0"/>
              <w:spacing w:line="440" w:lineRule="exact"/>
              <w:jc w:val="center"/>
              <w:rPr>
                <w:color w:val="000000"/>
                <w:szCs w:val="21"/>
              </w:rPr>
            </w:pPr>
          </w:p>
        </w:tc>
        <w:tc>
          <w:tcPr>
            <w:tcW w:w="2891" w:type="dxa"/>
            <w:gridSpan w:val="2"/>
            <w:vAlign w:val="center"/>
          </w:tcPr>
          <w:p w:rsidR="00D31BEC" w:rsidRDefault="00D31BEC" w:rsidP="00EE385F">
            <w:pPr>
              <w:jc w:val="center"/>
              <w:rPr>
                <w:color w:val="000000"/>
                <w:szCs w:val="21"/>
              </w:rPr>
            </w:pPr>
            <w:r>
              <w:rPr>
                <w:color w:val="000000"/>
                <w:szCs w:val="21"/>
              </w:rPr>
              <w:t>边部</w:t>
            </w:r>
          </w:p>
        </w:tc>
        <w:tc>
          <w:tcPr>
            <w:tcW w:w="4466" w:type="dxa"/>
            <w:vAlign w:val="center"/>
          </w:tcPr>
          <w:p w:rsidR="00D31BEC" w:rsidRDefault="00D31BEC" w:rsidP="00EE385F">
            <w:pPr>
              <w:jc w:val="center"/>
              <w:rPr>
                <w:color w:val="000000"/>
                <w:szCs w:val="21"/>
              </w:rPr>
            </w:pPr>
            <w:r>
              <w:rPr>
                <w:color w:val="000000"/>
                <w:szCs w:val="21"/>
              </w:rPr>
              <w:t>QB/T 1952.2</w:t>
            </w:r>
            <w:r>
              <w:rPr>
                <w:szCs w:val="21"/>
              </w:rPr>
              <w:t>—</w:t>
            </w:r>
            <w:r>
              <w:rPr>
                <w:color w:val="000000"/>
                <w:szCs w:val="21"/>
              </w:rPr>
              <w:t>2023</w:t>
            </w:r>
          </w:p>
        </w:tc>
      </w:tr>
      <w:tr w:rsidR="00D31BEC" w:rsidTr="00EE385F">
        <w:tc>
          <w:tcPr>
            <w:tcW w:w="9172" w:type="dxa"/>
            <w:gridSpan w:val="5"/>
            <w:vAlign w:val="center"/>
          </w:tcPr>
          <w:p w:rsidR="00D31BEC" w:rsidRDefault="00D31BEC" w:rsidP="00EE385F">
            <w:pPr>
              <w:jc w:val="left"/>
              <w:rPr>
                <w:color w:val="000000"/>
                <w:szCs w:val="21"/>
              </w:rPr>
            </w:pPr>
            <w:r>
              <w:rPr>
                <w:color w:val="000000"/>
                <w:szCs w:val="21"/>
              </w:rPr>
              <w:t>注：</w:t>
            </w:r>
            <w:r>
              <w:rPr>
                <w:color w:val="000000"/>
                <w:szCs w:val="21"/>
              </w:rPr>
              <w:t xml:space="preserve">1. </w:t>
            </w:r>
            <w:r>
              <w:rPr>
                <w:color w:val="000000"/>
                <w:szCs w:val="21"/>
              </w:rPr>
              <w:t>复合面料的检验项目为</w:t>
            </w:r>
            <w:r>
              <w:rPr>
                <w:color w:val="000000"/>
                <w:szCs w:val="21"/>
              </w:rPr>
              <w:t>QB/T 1952.2</w:t>
            </w:r>
            <w:r>
              <w:rPr>
                <w:szCs w:val="21"/>
              </w:rPr>
              <w:t>—</w:t>
            </w:r>
            <w:r>
              <w:rPr>
                <w:color w:val="000000"/>
                <w:szCs w:val="21"/>
              </w:rPr>
              <w:t>2023</w:t>
            </w:r>
            <w:r>
              <w:rPr>
                <w:color w:val="000000"/>
                <w:szCs w:val="21"/>
              </w:rPr>
              <w:t>标准中表</w:t>
            </w:r>
            <w:r>
              <w:rPr>
                <w:color w:val="000000"/>
                <w:szCs w:val="21"/>
              </w:rPr>
              <w:t>3</w:t>
            </w:r>
            <w:r>
              <w:rPr>
                <w:color w:val="000000"/>
                <w:szCs w:val="21"/>
              </w:rPr>
              <w:t>序号</w:t>
            </w:r>
            <w:r>
              <w:rPr>
                <w:color w:val="000000"/>
                <w:szCs w:val="21"/>
              </w:rPr>
              <w:t>5</w:t>
            </w:r>
            <w:r>
              <w:rPr>
                <w:color w:val="000000"/>
                <w:szCs w:val="21"/>
              </w:rPr>
              <w:t>、</w:t>
            </w:r>
            <w:r>
              <w:rPr>
                <w:color w:val="000000"/>
                <w:szCs w:val="21"/>
              </w:rPr>
              <w:t>10</w:t>
            </w:r>
            <w:r>
              <w:rPr>
                <w:color w:val="000000"/>
                <w:szCs w:val="21"/>
              </w:rPr>
              <w:t>和</w:t>
            </w:r>
            <w:r>
              <w:rPr>
                <w:color w:val="000000"/>
                <w:szCs w:val="21"/>
              </w:rPr>
              <w:t>12</w:t>
            </w:r>
            <w:r>
              <w:rPr>
                <w:color w:val="000000"/>
                <w:szCs w:val="21"/>
              </w:rPr>
              <w:t>；</w:t>
            </w:r>
          </w:p>
          <w:p w:rsidR="00D31BEC" w:rsidRDefault="00D31BEC" w:rsidP="00EE385F">
            <w:pPr>
              <w:ind w:firstLineChars="200" w:firstLine="420"/>
              <w:jc w:val="left"/>
              <w:rPr>
                <w:color w:val="000000"/>
                <w:szCs w:val="21"/>
              </w:rPr>
            </w:pPr>
            <w:r>
              <w:rPr>
                <w:color w:val="000000"/>
                <w:szCs w:val="21"/>
              </w:rPr>
              <w:t xml:space="preserve">2. </w:t>
            </w:r>
            <w:r>
              <w:rPr>
                <w:color w:val="000000"/>
                <w:szCs w:val="21"/>
              </w:rPr>
              <w:t>缝边的检验项目为</w:t>
            </w:r>
            <w:r>
              <w:rPr>
                <w:color w:val="000000"/>
                <w:szCs w:val="21"/>
              </w:rPr>
              <w:t>QB/T 1952.2</w:t>
            </w:r>
            <w:r>
              <w:rPr>
                <w:szCs w:val="21"/>
              </w:rPr>
              <w:t>—</w:t>
            </w:r>
            <w:r>
              <w:rPr>
                <w:color w:val="000000"/>
                <w:szCs w:val="21"/>
              </w:rPr>
              <w:t>2023</w:t>
            </w:r>
            <w:r>
              <w:rPr>
                <w:color w:val="000000"/>
                <w:szCs w:val="21"/>
              </w:rPr>
              <w:t>标准中表</w:t>
            </w:r>
            <w:r>
              <w:rPr>
                <w:color w:val="000000"/>
                <w:szCs w:val="21"/>
              </w:rPr>
              <w:t>3</w:t>
            </w:r>
            <w:r>
              <w:rPr>
                <w:color w:val="000000"/>
                <w:szCs w:val="21"/>
              </w:rPr>
              <w:t>序号</w:t>
            </w:r>
            <w:r>
              <w:rPr>
                <w:color w:val="000000"/>
                <w:szCs w:val="21"/>
              </w:rPr>
              <w:t>19</w:t>
            </w:r>
            <w:r>
              <w:rPr>
                <w:color w:val="000000"/>
                <w:szCs w:val="21"/>
              </w:rPr>
              <w:t>；</w:t>
            </w:r>
          </w:p>
          <w:p w:rsidR="00D31BEC" w:rsidRDefault="00D31BEC" w:rsidP="00EE385F">
            <w:pPr>
              <w:ind w:firstLineChars="200" w:firstLine="420"/>
              <w:jc w:val="left"/>
              <w:rPr>
                <w:color w:val="000000"/>
                <w:szCs w:val="21"/>
              </w:rPr>
            </w:pPr>
            <w:r>
              <w:rPr>
                <w:color w:val="000000"/>
                <w:szCs w:val="21"/>
              </w:rPr>
              <w:t xml:space="preserve">3. </w:t>
            </w:r>
            <w:r>
              <w:rPr>
                <w:color w:val="000000"/>
                <w:szCs w:val="21"/>
              </w:rPr>
              <w:t>拉链的检验项目为</w:t>
            </w:r>
            <w:r>
              <w:rPr>
                <w:color w:val="000000"/>
                <w:szCs w:val="21"/>
              </w:rPr>
              <w:t>QB/T 1952.2</w:t>
            </w:r>
            <w:r>
              <w:rPr>
                <w:szCs w:val="21"/>
              </w:rPr>
              <w:t>—</w:t>
            </w:r>
            <w:r>
              <w:rPr>
                <w:color w:val="000000"/>
                <w:szCs w:val="21"/>
              </w:rPr>
              <w:t>2023</w:t>
            </w:r>
            <w:r>
              <w:rPr>
                <w:color w:val="000000"/>
                <w:szCs w:val="21"/>
              </w:rPr>
              <w:t>标准中表</w:t>
            </w:r>
            <w:r>
              <w:rPr>
                <w:color w:val="000000"/>
                <w:szCs w:val="21"/>
              </w:rPr>
              <w:t>3</w:t>
            </w:r>
            <w:r>
              <w:rPr>
                <w:color w:val="000000"/>
                <w:szCs w:val="21"/>
              </w:rPr>
              <w:t>序号</w:t>
            </w:r>
            <w:r>
              <w:rPr>
                <w:color w:val="000000"/>
                <w:szCs w:val="21"/>
              </w:rPr>
              <w:t>22~24</w:t>
            </w:r>
            <w:r>
              <w:rPr>
                <w:color w:val="000000"/>
                <w:szCs w:val="21"/>
              </w:rPr>
              <w:t>；</w:t>
            </w:r>
          </w:p>
          <w:p w:rsidR="00D31BEC" w:rsidRDefault="00D31BEC" w:rsidP="00EE385F">
            <w:pPr>
              <w:ind w:firstLineChars="200" w:firstLine="420"/>
              <w:jc w:val="left"/>
              <w:rPr>
                <w:color w:val="000000"/>
                <w:szCs w:val="21"/>
              </w:rPr>
            </w:pPr>
            <w:r>
              <w:rPr>
                <w:color w:val="000000"/>
                <w:szCs w:val="21"/>
              </w:rPr>
              <w:t xml:space="preserve">4. </w:t>
            </w:r>
            <w:r>
              <w:rPr>
                <w:color w:val="000000"/>
                <w:szCs w:val="21"/>
              </w:rPr>
              <w:t>毡垫的检验项目为</w:t>
            </w:r>
            <w:r>
              <w:rPr>
                <w:color w:val="000000"/>
                <w:szCs w:val="21"/>
              </w:rPr>
              <w:t>QB/T 1952.2</w:t>
            </w:r>
            <w:r>
              <w:rPr>
                <w:szCs w:val="21"/>
              </w:rPr>
              <w:t>—</w:t>
            </w:r>
            <w:r>
              <w:rPr>
                <w:color w:val="000000"/>
                <w:szCs w:val="21"/>
              </w:rPr>
              <w:t>2023</w:t>
            </w:r>
            <w:r>
              <w:rPr>
                <w:color w:val="000000"/>
                <w:szCs w:val="21"/>
              </w:rPr>
              <w:t>标准中表</w:t>
            </w:r>
            <w:r>
              <w:rPr>
                <w:color w:val="000000"/>
                <w:szCs w:val="21"/>
              </w:rPr>
              <w:t>3</w:t>
            </w:r>
            <w:r>
              <w:rPr>
                <w:color w:val="000000"/>
                <w:szCs w:val="21"/>
              </w:rPr>
              <w:t>序号</w:t>
            </w:r>
            <w:r>
              <w:rPr>
                <w:color w:val="000000"/>
                <w:szCs w:val="21"/>
              </w:rPr>
              <w:t>49</w:t>
            </w:r>
            <w:r>
              <w:rPr>
                <w:color w:val="000000"/>
                <w:szCs w:val="21"/>
              </w:rPr>
              <w:t>；</w:t>
            </w:r>
          </w:p>
          <w:p w:rsidR="00D31BEC" w:rsidRDefault="00D31BEC" w:rsidP="00EE385F">
            <w:pPr>
              <w:ind w:firstLineChars="200" w:firstLine="420"/>
              <w:jc w:val="left"/>
              <w:rPr>
                <w:color w:val="000000"/>
                <w:szCs w:val="21"/>
              </w:rPr>
            </w:pPr>
            <w:r>
              <w:rPr>
                <w:color w:val="000000"/>
                <w:szCs w:val="21"/>
              </w:rPr>
              <w:t xml:space="preserve">5. </w:t>
            </w:r>
            <w:r>
              <w:rPr>
                <w:color w:val="000000"/>
                <w:szCs w:val="21"/>
              </w:rPr>
              <w:t>软质泡沫塑料垫的检验项目为</w:t>
            </w:r>
            <w:r>
              <w:rPr>
                <w:color w:val="000000"/>
                <w:szCs w:val="21"/>
              </w:rPr>
              <w:t>QB/T 1952.2</w:t>
            </w:r>
            <w:r>
              <w:rPr>
                <w:szCs w:val="21"/>
              </w:rPr>
              <w:t>—</w:t>
            </w:r>
            <w:r>
              <w:rPr>
                <w:color w:val="000000"/>
                <w:szCs w:val="21"/>
              </w:rPr>
              <w:t>2023</w:t>
            </w:r>
            <w:r>
              <w:rPr>
                <w:color w:val="000000"/>
                <w:szCs w:val="21"/>
              </w:rPr>
              <w:t>标准中表</w:t>
            </w:r>
            <w:r>
              <w:rPr>
                <w:color w:val="000000"/>
                <w:szCs w:val="21"/>
              </w:rPr>
              <w:t>3</w:t>
            </w:r>
            <w:r>
              <w:rPr>
                <w:color w:val="000000"/>
                <w:szCs w:val="21"/>
              </w:rPr>
              <w:t>序号</w:t>
            </w:r>
            <w:r>
              <w:rPr>
                <w:color w:val="000000"/>
                <w:szCs w:val="21"/>
              </w:rPr>
              <w:t>55</w:t>
            </w:r>
            <w:r>
              <w:rPr>
                <w:color w:val="000000"/>
                <w:szCs w:val="21"/>
              </w:rPr>
              <w:t>、</w:t>
            </w:r>
            <w:r>
              <w:rPr>
                <w:color w:val="000000"/>
                <w:szCs w:val="21"/>
              </w:rPr>
              <w:t>56</w:t>
            </w:r>
            <w:r>
              <w:rPr>
                <w:color w:val="000000"/>
                <w:szCs w:val="21"/>
              </w:rPr>
              <w:t>；</w:t>
            </w:r>
          </w:p>
          <w:p w:rsidR="00D31BEC" w:rsidRDefault="00D31BEC" w:rsidP="00EE385F">
            <w:pPr>
              <w:ind w:firstLineChars="200" w:firstLine="420"/>
              <w:jc w:val="left"/>
              <w:rPr>
                <w:color w:val="000000"/>
                <w:szCs w:val="21"/>
              </w:rPr>
            </w:pPr>
            <w:r>
              <w:rPr>
                <w:color w:val="000000"/>
                <w:szCs w:val="21"/>
              </w:rPr>
              <w:t xml:space="preserve">6. </w:t>
            </w:r>
            <w:r>
              <w:rPr>
                <w:color w:val="000000"/>
                <w:szCs w:val="21"/>
              </w:rPr>
              <w:t>乳胶（乳胶棉）垫的检验项目为</w:t>
            </w:r>
            <w:r>
              <w:rPr>
                <w:color w:val="000000"/>
                <w:szCs w:val="21"/>
              </w:rPr>
              <w:t>QB/T 1952.2</w:t>
            </w:r>
            <w:r>
              <w:rPr>
                <w:szCs w:val="21"/>
              </w:rPr>
              <w:t>—</w:t>
            </w:r>
            <w:r>
              <w:rPr>
                <w:color w:val="000000"/>
                <w:szCs w:val="21"/>
              </w:rPr>
              <w:t>2023</w:t>
            </w:r>
            <w:r>
              <w:rPr>
                <w:color w:val="000000"/>
                <w:szCs w:val="21"/>
              </w:rPr>
              <w:t>标准中表</w:t>
            </w:r>
            <w:r>
              <w:rPr>
                <w:color w:val="000000"/>
                <w:szCs w:val="21"/>
              </w:rPr>
              <w:t>3</w:t>
            </w:r>
            <w:r>
              <w:rPr>
                <w:color w:val="000000"/>
                <w:szCs w:val="21"/>
              </w:rPr>
              <w:t>序号</w:t>
            </w:r>
            <w:r>
              <w:rPr>
                <w:color w:val="000000"/>
                <w:szCs w:val="21"/>
              </w:rPr>
              <w:t>58</w:t>
            </w:r>
            <w:r>
              <w:rPr>
                <w:color w:val="000000"/>
                <w:szCs w:val="21"/>
              </w:rPr>
              <w:t>；</w:t>
            </w:r>
          </w:p>
          <w:p w:rsidR="00D31BEC" w:rsidRDefault="00D31BEC" w:rsidP="00EE385F">
            <w:pPr>
              <w:ind w:firstLineChars="200" w:firstLine="420"/>
              <w:jc w:val="left"/>
              <w:rPr>
                <w:color w:val="000000"/>
                <w:szCs w:val="21"/>
              </w:rPr>
            </w:pPr>
            <w:r>
              <w:rPr>
                <w:color w:val="000000"/>
                <w:szCs w:val="21"/>
              </w:rPr>
              <w:t xml:space="preserve">7. </w:t>
            </w:r>
            <w:r>
              <w:rPr>
                <w:color w:val="000000"/>
                <w:szCs w:val="21"/>
              </w:rPr>
              <w:t>弹簧芯的检验项目为</w:t>
            </w:r>
            <w:r>
              <w:rPr>
                <w:color w:val="000000"/>
                <w:szCs w:val="21"/>
              </w:rPr>
              <w:t>QB/T 1952.2</w:t>
            </w:r>
            <w:r>
              <w:rPr>
                <w:szCs w:val="21"/>
              </w:rPr>
              <w:t>—</w:t>
            </w:r>
            <w:r>
              <w:rPr>
                <w:color w:val="000000"/>
                <w:szCs w:val="21"/>
              </w:rPr>
              <w:t>2023</w:t>
            </w:r>
            <w:r>
              <w:rPr>
                <w:color w:val="000000"/>
                <w:szCs w:val="21"/>
              </w:rPr>
              <w:t>标准中表</w:t>
            </w:r>
            <w:r>
              <w:rPr>
                <w:color w:val="000000"/>
                <w:szCs w:val="21"/>
              </w:rPr>
              <w:t>3</w:t>
            </w:r>
            <w:r>
              <w:rPr>
                <w:color w:val="000000"/>
                <w:szCs w:val="21"/>
              </w:rPr>
              <w:t>序号</w:t>
            </w:r>
            <w:r>
              <w:rPr>
                <w:color w:val="000000"/>
                <w:szCs w:val="21"/>
              </w:rPr>
              <w:t>60</w:t>
            </w:r>
            <w:r>
              <w:rPr>
                <w:color w:val="000000"/>
                <w:szCs w:val="21"/>
              </w:rPr>
              <w:t>；</w:t>
            </w:r>
          </w:p>
          <w:p w:rsidR="00D31BEC" w:rsidRDefault="00D31BEC" w:rsidP="00EE385F">
            <w:pPr>
              <w:ind w:firstLineChars="200" w:firstLine="420"/>
              <w:jc w:val="left"/>
              <w:rPr>
                <w:color w:val="000000"/>
                <w:szCs w:val="21"/>
              </w:rPr>
            </w:pPr>
            <w:r>
              <w:rPr>
                <w:color w:val="000000"/>
                <w:szCs w:val="21"/>
              </w:rPr>
              <w:t xml:space="preserve">8. </w:t>
            </w:r>
            <w:r>
              <w:rPr>
                <w:color w:val="000000"/>
                <w:szCs w:val="21"/>
              </w:rPr>
              <w:t>阻燃性项目检验时：如果试件两铺面用料、工艺、软硬度不一致且两面均可使用时，应分别在产品的两铺面进行测定。</w:t>
            </w:r>
          </w:p>
        </w:tc>
      </w:tr>
    </w:tbl>
    <w:p w:rsidR="005C37B9" w:rsidRDefault="00E47035" w:rsidP="005C37B9">
      <w:pPr>
        <w:snapToGrid w:val="0"/>
        <w:spacing w:line="440" w:lineRule="exact"/>
        <w:rPr>
          <w:rFonts w:eastAsia="黑体"/>
          <w:szCs w:val="21"/>
        </w:rPr>
      </w:pPr>
      <w:r>
        <w:rPr>
          <w:rFonts w:hint="eastAsia"/>
          <w:szCs w:val="21"/>
        </w:rPr>
        <w:t xml:space="preserve">   </w:t>
      </w:r>
      <w:r w:rsidR="005C37B9">
        <w:rPr>
          <w:rFonts w:hint="eastAsia"/>
          <w:szCs w:val="21"/>
        </w:rPr>
        <w:t xml:space="preserve">               </w:t>
      </w:r>
      <w:r>
        <w:rPr>
          <w:rFonts w:hint="eastAsia"/>
          <w:szCs w:val="21"/>
        </w:rPr>
        <w:t xml:space="preserve"> </w:t>
      </w:r>
      <w:r w:rsidR="005C37B9">
        <w:rPr>
          <w:color w:val="000000"/>
          <w:szCs w:val="21"/>
        </w:rPr>
        <w:t>表</w:t>
      </w:r>
      <w:r w:rsidR="005C37B9">
        <w:rPr>
          <w:rFonts w:hint="eastAsia"/>
          <w:color w:val="000000"/>
          <w:szCs w:val="21"/>
        </w:rPr>
        <w:t>2</w:t>
      </w:r>
      <w:r w:rsidR="005C37B9">
        <w:rPr>
          <w:color w:val="000000"/>
          <w:szCs w:val="21"/>
        </w:rPr>
        <w:t xml:space="preserve"> </w:t>
      </w:r>
      <w:r w:rsidR="005C37B9">
        <w:rPr>
          <w:rFonts w:hint="eastAsia"/>
          <w:color w:val="000000"/>
          <w:szCs w:val="21"/>
        </w:rPr>
        <w:t xml:space="preserve">  </w:t>
      </w:r>
      <w:r w:rsidR="005C37B9">
        <w:rPr>
          <w:szCs w:val="21"/>
        </w:rPr>
        <w:t>棕纤维弹性床垫</w:t>
      </w:r>
      <w:r w:rsidR="005C37B9">
        <w:rPr>
          <w:color w:val="000000"/>
          <w:szCs w:val="21"/>
        </w:rPr>
        <w:t>（</w:t>
      </w:r>
      <w:r w:rsidR="005C37B9">
        <w:rPr>
          <w:szCs w:val="21"/>
        </w:rPr>
        <w:t>GB/T 26706</w:t>
      </w:r>
      <w:r w:rsidR="005C37B9">
        <w:rPr>
          <w:rFonts w:ascii="宋体" w:hAnsi="宋体" w:hint="eastAsia"/>
          <w:color w:val="000000"/>
          <w:szCs w:val="21"/>
        </w:rPr>
        <w:t>—</w:t>
      </w:r>
      <w:r w:rsidR="005C37B9">
        <w:rPr>
          <w:szCs w:val="21"/>
        </w:rPr>
        <w:t>2011</w:t>
      </w:r>
      <w:r w:rsidR="005C37B9">
        <w:rPr>
          <w:color w:val="00000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1461"/>
        <w:gridCol w:w="2267"/>
        <w:gridCol w:w="4169"/>
      </w:tblGrid>
      <w:tr w:rsidR="005C37B9" w:rsidTr="00EE385F">
        <w:trPr>
          <w:cantSplit/>
          <w:trHeight w:val="527"/>
          <w:jc w:val="center"/>
        </w:trPr>
        <w:tc>
          <w:tcPr>
            <w:tcW w:w="367" w:type="pct"/>
            <w:tcBorders>
              <w:top w:val="single" w:sz="4" w:space="0" w:color="auto"/>
              <w:left w:val="single" w:sz="4" w:space="0" w:color="auto"/>
              <w:bottom w:val="single" w:sz="4" w:space="0" w:color="auto"/>
              <w:right w:val="single" w:sz="4" w:space="0" w:color="auto"/>
            </w:tcBorders>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szCs w:val="21"/>
              </w:rPr>
              <w:t>序号</w:t>
            </w:r>
          </w:p>
        </w:tc>
        <w:tc>
          <w:tcPr>
            <w:tcW w:w="2187" w:type="pct"/>
            <w:gridSpan w:val="2"/>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szCs w:val="21"/>
              </w:rPr>
              <w:t>检验项目</w:t>
            </w:r>
          </w:p>
        </w:tc>
        <w:tc>
          <w:tcPr>
            <w:tcW w:w="2446" w:type="pct"/>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szCs w:val="21"/>
              </w:rPr>
              <w:t>检验方法</w:t>
            </w:r>
          </w:p>
        </w:tc>
      </w:tr>
      <w:tr w:rsidR="005C37B9" w:rsidTr="00EE385F">
        <w:trPr>
          <w:cantSplit/>
          <w:trHeight w:val="455"/>
          <w:jc w:val="center"/>
        </w:trPr>
        <w:tc>
          <w:tcPr>
            <w:tcW w:w="367" w:type="pct"/>
            <w:tcBorders>
              <w:top w:val="single" w:sz="4" w:space="0" w:color="auto"/>
              <w:left w:val="single" w:sz="4" w:space="0" w:color="auto"/>
              <w:bottom w:val="single" w:sz="4" w:space="0" w:color="auto"/>
              <w:right w:val="single" w:sz="4" w:space="0" w:color="auto"/>
            </w:tcBorders>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szCs w:val="21"/>
              </w:rPr>
              <w:t>1</w:t>
            </w:r>
          </w:p>
        </w:tc>
        <w:tc>
          <w:tcPr>
            <w:tcW w:w="2187" w:type="pct"/>
            <w:gridSpan w:val="2"/>
            <w:vAlign w:val="center"/>
          </w:tcPr>
          <w:p w:rsidR="005C37B9" w:rsidRDefault="005C37B9" w:rsidP="00EE385F">
            <w:pPr>
              <w:spacing w:line="300" w:lineRule="exact"/>
              <w:jc w:val="center"/>
              <w:rPr>
                <w:szCs w:val="21"/>
              </w:rPr>
            </w:pPr>
            <w:r>
              <w:rPr>
                <w:szCs w:val="21"/>
              </w:rPr>
              <w:t>面料及复合面料物理性能</w:t>
            </w:r>
            <w:r>
              <w:rPr>
                <w:rFonts w:hint="eastAsia"/>
                <w:szCs w:val="21"/>
              </w:rPr>
              <w:t>—</w:t>
            </w:r>
            <w:r>
              <w:rPr>
                <w:szCs w:val="21"/>
              </w:rPr>
              <w:t>耐摩擦色牢度</w:t>
            </w:r>
          </w:p>
        </w:tc>
        <w:tc>
          <w:tcPr>
            <w:tcW w:w="2446" w:type="pct"/>
            <w:vAlign w:val="center"/>
          </w:tcPr>
          <w:p w:rsidR="005C37B9" w:rsidRDefault="00E91696" w:rsidP="00EE385F">
            <w:pPr>
              <w:spacing w:line="300" w:lineRule="exact"/>
              <w:jc w:val="center"/>
              <w:rPr>
                <w:szCs w:val="21"/>
              </w:rPr>
            </w:pPr>
            <w:r>
              <w:rPr>
                <w:szCs w:val="21"/>
              </w:rPr>
              <w:t>GB/T 26706</w:t>
            </w:r>
            <w:r>
              <w:rPr>
                <w:rFonts w:hint="eastAsia"/>
                <w:szCs w:val="21"/>
              </w:rPr>
              <w:t>—</w:t>
            </w:r>
            <w:r>
              <w:rPr>
                <w:szCs w:val="21"/>
              </w:rPr>
              <w:t>2011</w:t>
            </w:r>
          </w:p>
        </w:tc>
      </w:tr>
      <w:tr w:rsidR="005C37B9" w:rsidTr="00EE385F">
        <w:trPr>
          <w:cantSplit/>
          <w:trHeight w:val="365"/>
          <w:jc w:val="center"/>
        </w:trPr>
        <w:tc>
          <w:tcPr>
            <w:tcW w:w="367" w:type="pct"/>
            <w:vMerge w:val="restart"/>
            <w:tcBorders>
              <w:top w:val="single" w:sz="4" w:space="0" w:color="auto"/>
              <w:left w:val="single" w:sz="4" w:space="0" w:color="auto"/>
              <w:right w:val="single" w:sz="4" w:space="0" w:color="auto"/>
            </w:tcBorders>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szCs w:val="21"/>
              </w:rPr>
              <w:t>2</w:t>
            </w:r>
          </w:p>
        </w:tc>
        <w:tc>
          <w:tcPr>
            <w:tcW w:w="857" w:type="pct"/>
            <w:vMerge w:val="restart"/>
            <w:vAlign w:val="center"/>
          </w:tcPr>
          <w:p w:rsidR="00E91696" w:rsidRDefault="005C37B9" w:rsidP="00EE385F">
            <w:pPr>
              <w:spacing w:line="300" w:lineRule="exact"/>
              <w:jc w:val="center"/>
              <w:rPr>
                <w:szCs w:val="21"/>
              </w:rPr>
            </w:pPr>
            <w:r>
              <w:rPr>
                <w:szCs w:val="21"/>
              </w:rPr>
              <w:t>芯料物理</w:t>
            </w:r>
          </w:p>
          <w:p w:rsidR="005C37B9" w:rsidRDefault="005C37B9" w:rsidP="00EE385F">
            <w:pPr>
              <w:spacing w:line="300" w:lineRule="exact"/>
              <w:jc w:val="center"/>
              <w:rPr>
                <w:szCs w:val="21"/>
              </w:rPr>
            </w:pPr>
            <w:r>
              <w:rPr>
                <w:szCs w:val="21"/>
              </w:rPr>
              <w:t>性能</w:t>
            </w:r>
          </w:p>
        </w:tc>
        <w:tc>
          <w:tcPr>
            <w:tcW w:w="1330" w:type="pct"/>
            <w:vAlign w:val="center"/>
          </w:tcPr>
          <w:p w:rsidR="005C37B9" w:rsidRDefault="005C37B9" w:rsidP="00EE385F">
            <w:pPr>
              <w:spacing w:line="300" w:lineRule="exact"/>
              <w:jc w:val="center"/>
              <w:rPr>
                <w:szCs w:val="21"/>
              </w:rPr>
            </w:pPr>
            <w:r>
              <w:rPr>
                <w:szCs w:val="21"/>
              </w:rPr>
              <w:t>含水率</w:t>
            </w:r>
          </w:p>
        </w:tc>
        <w:tc>
          <w:tcPr>
            <w:tcW w:w="2446" w:type="pct"/>
            <w:vAlign w:val="center"/>
          </w:tcPr>
          <w:p w:rsidR="005C37B9" w:rsidRDefault="005C37B9" w:rsidP="00EE385F">
            <w:pPr>
              <w:spacing w:line="300" w:lineRule="exact"/>
              <w:jc w:val="center"/>
              <w:rPr>
                <w:szCs w:val="21"/>
              </w:rPr>
            </w:pPr>
            <w:r>
              <w:rPr>
                <w:szCs w:val="21"/>
              </w:rPr>
              <w:t>GB/T 26706</w:t>
            </w:r>
            <w:r>
              <w:rPr>
                <w:rFonts w:hint="eastAsia"/>
                <w:szCs w:val="21"/>
              </w:rPr>
              <w:t>—</w:t>
            </w:r>
            <w:r>
              <w:rPr>
                <w:szCs w:val="21"/>
              </w:rPr>
              <w:t>2011</w:t>
            </w:r>
          </w:p>
        </w:tc>
      </w:tr>
      <w:tr w:rsidR="005C37B9" w:rsidTr="00EE385F">
        <w:trPr>
          <w:cantSplit/>
          <w:trHeight w:val="340"/>
          <w:jc w:val="center"/>
        </w:trPr>
        <w:tc>
          <w:tcPr>
            <w:tcW w:w="367" w:type="pct"/>
            <w:vMerge/>
            <w:tcBorders>
              <w:left w:val="single" w:sz="4" w:space="0" w:color="auto"/>
              <w:bottom w:val="single" w:sz="4" w:space="0" w:color="auto"/>
              <w:right w:val="single" w:sz="4" w:space="0" w:color="auto"/>
            </w:tcBorders>
            <w:vAlign w:val="center"/>
          </w:tcPr>
          <w:p w:rsidR="005C37B9" w:rsidRDefault="005C37B9" w:rsidP="00EE385F">
            <w:pPr>
              <w:pStyle w:val="a7"/>
              <w:spacing w:line="300" w:lineRule="exact"/>
              <w:jc w:val="center"/>
              <w:rPr>
                <w:rFonts w:ascii="Times New Roman" w:hAnsi="Times New Roman"/>
                <w:szCs w:val="21"/>
              </w:rPr>
            </w:pPr>
          </w:p>
        </w:tc>
        <w:tc>
          <w:tcPr>
            <w:tcW w:w="857" w:type="pct"/>
            <w:vMerge/>
            <w:vAlign w:val="center"/>
          </w:tcPr>
          <w:p w:rsidR="005C37B9" w:rsidRDefault="005C37B9" w:rsidP="00EE385F">
            <w:pPr>
              <w:spacing w:line="300" w:lineRule="exact"/>
              <w:jc w:val="center"/>
              <w:rPr>
                <w:szCs w:val="21"/>
              </w:rPr>
            </w:pPr>
          </w:p>
        </w:tc>
        <w:tc>
          <w:tcPr>
            <w:tcW w:w="1330" w:type="pct"/>
            <w:vAlign w:val="center"/>
          </w:tcPr>
          <w:p w:rsidR="005C37B9" w:rsidRDefault="005C37B9" w:rsidP="00EE385F">
            <w:pPr>
              <w:spacing w:line="300" w:lineRule="exact"/>
              <w:jc w:val="center"/>
              <w:rPr>
                <w:szCs w:val="21"/>
              </w:rPr>
            </w:pPr>
            <w:r>
              <w:rPr>
                <w:szCs w:val="21"/>
              </w:rPr>
              <w:t>压缩永久变形率</w:t>
            </w:r>
          </w:p>
        </w:tc>
        <w:tc>
          <w:tcPr>
            <w:tcW w:w="2446" w:type="pct"/>
            <w:vAlign w:val="center"/>
          </w:tcPr>
          <w:p w:rsidR="005C37B9" w:rsidRDefault="005C37B9" w:rsidP="00EE385F">
            <w:pPr>
              <w:spacing w:line="300" w:lineRule="exact"/>
              <w:jc w:val="center"/>
              <w:rPr>
                <w:szCs w:val="21"/>
              </w:rPr>
            </w:pPr>
            <w:r>
              <w:rPr>
                <w:szCs w:val="21"/>
              </w:rPr>
              <w:t>GB/T 26706</w:t>
            </w:r>
            <w:r>
              <w:rPr>
                <w:rFonts w:hint="eastAsia"/>
                <w:szCs w:val="21"/>
              </w:rPr>
              <w:t>—</w:t>
            </w:r>
            <w:r>
              <w:rPr>
                <w:szCs w:val="21"/>
              </w:rPr>
              <w:t>2011</w:t>
            </w:r>
          </w:p>
        </w:tc>
      </w:tr>
      <w:tr w:rsidR="005C37B9" w:rsidTr="00EE385F">
        <w:trPr>
          <w:cantSplit/>
          <w:trHeight w:val="846"/>
          <w:jc w:val="center"/>
        </w:trPr>
        <w:tc>
          <w:tcPr>
            <w:tcW w:w="367" w:type="pct"/>
            <w:tcBorders>
              <w:top w:val="single" w:sz="4" w:space="0" w:color="auto"/>
              <w:left w:val="single" w:sz="4" w:space="0" w:color="auto"/>
              <w:right w:val="single" w:sz="4" w:space="0" w:color="auto"/>
            </w:tcBorders>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szCs w:val="21"/>
              </w:rPr>
              <w:t>3</w:t>
            </w:r>
          </w:p>
        </w:tc>
        <w:tc>
          <w:tcPr>
            <w:tcW w:w="2187" w:type="pct"/>
            <w:gridSpan w:val="2"/>
            <w:vAlign w:val="center"/>
          </w:tcPr>
          <w:p w:rsidR="005C37B9" w:rsidRDefault="005C37B9" w:rsidP="00EE385F">
            <w:pPr>
              <w:spacing w:line="300" w:lineRule="exact"/>
              <w:jc w:val="center"/>
              <w:rPr>
                <w:szCs w:val="21"/>
              </w:rPr>
            </w:pPr>
            <w:r>
              <w:rPr>
                <w:szCs w:val="21"/>
              </w:rPr>
              <w:t>安全卫生要求</w:t>
            </w:r>
          </w:p>
        </w:tc>
        <w:tc>
          <w:tcPr>
            <w:tcW w:w="2446" w:type="pct"/>
            <w:vAlign w:val="center"/>
          </w:tcPr>
          <w:p w:rsidR="005C37B9" w:rsidRDefault="005C37B9" w:rsidP="00E91696">
            <w:pPr>
              <w:spacing w:line="300" w:lineRule="exact"/>
              <w:jc w:val="center"/>
              <w:rPr>
                <w:szCs w:val="21"/>
              </w:rPr>
            </w:pPr>
            <w:r>
              <w:rPr>
                <w:szCs w:val="21"/>
              </w:rPr>
              <w:t>GB/T 26706</w:t>
            </w:r>
            <w:r>
              <w:rPr>
                <w:rFonts w:hint="eastAsia"/>
                <w:szCs w:val="21"/>
              </w:rPr>
              <w:t>—</w:t>
            </w:r>
            <w:r>
              <w:rPr>
                <w:szCs w:val="21"/>
              </w:rPr>
              <w:t>20</w:t>
            </w:r>
            <w:r w:rsidR="00E91696">
              <w:rPr>
                <w:szCs w:val="21"/>
              </w:rPr>
              <w:t>11</w:t>
            </w:r>
          </w:p>
        </w:tc>
      </w:tr>
      <w:tr w:rsidR="005C37B9" w:rsidTr="00EE385F">
        <w:trPr>
          <w:cantSplit/>
          <w:trHeight w:val="489"/>
          <w:jc w:val="center"/>
        </w:trPr>
        <w:tc>
          <w:tcPr>
            <w:tcW w:w="367" w:type="pct"/>
            <w:tcBorders>
              <w:left w:val="single" w:sz="4" w:space="0" w:color="auto"/>
              <w:bottom w:val="single" w:sz="4" w:space="0" w:color="auto"/>
              <w:right w:val="single" w:sz="4" w:space="0" w:color="auto"/>
            </w:tcBorders>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hint="eastAsia"/>
                <w:szCs w:val="21"/>
              </w:rPr>
              <w:t>4</w:t>
            </w:r>
          </w:p>
        </w:tc>
        <w:tc>
          <w:tcPr>
            <w:tcW w:w="2187" w:type="pct"/>
            <w:gridSpan w:val="2"/>
            <w:vAlign w:val="center"/>
          </w:tcPr>
          <w:p w:rsidR="005C37B9" w:rsidRDefault="005C37B9" w:rsidP="00EE385F">
            <w:pPr>
              <w:spacing w:line="300" w:lineRule="exact"/>
              <w:jc w:val="center"/>
              <w:rPr>
                <w:szCs w:val="21"/>
              </w:rPr>
            </w:pPr>
            <w:r>
              <w:rPr>
                <w:szCs w:val="21"/>
              </w:rPr>
              <w:t>耐久性要求</w:t>
            </w:r>
          </w:p>
        </w:tc>
        <w:tc>
          <w:tcPr>
            <w:tcW w:w="2446" w:type="pct"/>
            <w:vAlign w:val="center"/>
          </w:tcPr>
          <w:p w:rsidR="005C37B9" w:rsidRDefault="005C37B9" w:rsidP="00EE385F">
            <w:pPr>
              <w:spacing w:line="300" w:lineRule="exact"/>
              <w:jc w:val="center"/>
              <w:rPr>
                <w:szCs w:val="21"/>
              </w:rPr>
            </w:pPr>
            <w:r>
              <w:rPr>
                <w:szCs w:val="21"/>
              </w:rPr>
              <w:t>GB/T 26706</w:t>
            </w:r>
            <w:r>
              <w:rPr>
                <w:rFonts w:hint="eastAsia"/>
                <w:szCs w:val="21"/>
              </w:rPr>
              <w:t>—</w:t>
            </w:r>
            <w:r>
              <w:rPr>
                <w:szCs w:val="21"/>
              </w:rPr>
              <w:t>2011</w:t>
            </w:r>
          </w:p>
        </w:tc>
      </w:tr>
      <w:tr w:rsidR="005C37B9" w:rsidTr="00EE385F">
        <w:trPr>
          <w:cantSplit/>
          <w:jc w:val="center"/>
        </w:trPr>
        <w:tc>
          <w:tcPr>
            <w:tcW w:w="367" w:type="pct"/>
            <w:tcBorders>
              <w:top w:val="single" w:sz="4" w:space="0" w:color="auto"/>
              <w:left w:val="single" w:sz="4" w:space="0" w:color="auto"/>
              <w:bottom w:val="single" w:sz="4" w:space="0" w:color="auto"/>
              <w:right w:val="single" w:sz="4" w:space="0" w:color="auto"/>
            </w:tcBorders>
            <w:vAlign w:val="center"/>
          </w:tcPr>
          <w:p w:rsidR="005C37B9" w:rsidRDefault="005C37B9" w:rsidP="00EE385F">
            <w:pPr>
              <w:pStyle w:val="a7"/>
              <w:spacing w:line="300" w:lineRule="exact"/>
              <w:jc w:val="center"/>
              <w:rPr>
                <w:rFonts w:ascii="Times New Roman" w:hAnsi="Times New Roman"/>
                <w:szCs w:val="21"/>
              </w:rPr>
            </w:pPr>
            <w:r>
              <w:rPr>
                <w:rFonts w:ascii="Times New Roman" w:hAnsi="Times New Roman" w:hint="eastAsia"/>
                <w:szCs w:val="21"/>
              </w:rPr>
              <w:t>5</w:t>
            </w:r>
          </w:p>
        </w:tc>
        <w:tc>
          <w:tcPr>
            <w:tcW w:w="2187" w:type="pct"/>
            <w:gridSpan w:val="2"/>
            <w:vAlign w:val="center"/>
          </w:tcPr>
          <w:p w:rsidR="005C37B9" w:rsidRDefault="005C37B9" w:rsidP="00EE385F">
            <w:pPr>
              <w:spacing w:line="300" w:lineRule="exact"/>
              <w:jc w:val="center"/>
              <w:rPr>
                <w:szCs w:val="21"/>
              </w:rPr>
            </w:pPr>
            <w:r>
              <w:rPr>
                <w:rFonts w:hint="eastAsia"/>
                <w:szCs w:val="21"/>
              </w:rPr>
              <w:t>抗引燃特性</w:t>
            </w:r>
          </w:p>
        </w:tc>
        <w:tc>
          <w:tcPr>
            <w:tcW w:w="2446" w:type="pct"/>
          </w:tcPr>
          <w:p w:rsidR="005C37B9" w:rsidRDefault="005C37B9" w:rsidP="00E91696">
            <w:pPr>
              <w:spacing w:line="300" w:lineRule="exact"/>
              <w:jc w:val="center"/>
              <w:textAlignment w:val="center"/>
              <w:rPr>
                <w:szCs w:val="21"/>
              </w:rPr>
            </w:pPr>
            <w:r>
              <w:rPr>
                <w:rFonts w:hint="eastAsia"/>
                <w:szCs w:val="21"/>
              </w:rPr>
              <w:t>GB 17927.1</w:t>
            </w:r>
            <w:r>
              <w:rPr>
                <w:rFonts w:hint="eastAsia"/>
                <w:szCs w:val="21"/>
              </w:rPr>
              <w:t>—</w:t>
            </w:r>
            <w:r w:rsidR="00E91696">
              <w:rPr>
                <w:rFonts w:hint="eastAsia"/>
                <w:szCs w:val="21"/>
              </w:rPr>
              <w:t>2011</w:t>
            </w:r>
          </w:p>
        </w:tc>
      </w:tr>
      <w:tr w:rsidR="005C37B9" w:rsidTr="005C37B9">
        <w:trPr>
          <w:cantSplit/>
          <w:trHeight w:val="456"/>
          <w:jc w:val="center"/>
        </w:trPr>
        <w:tc>
          <w:tcPr>
            <w:tcW w:w="5000" w:type="pct"/>
            <w:gridSpan w:val="4"/>
            <w:tcBorders>
              <w:top w:val="single" w:sz="4" w:space="0" w:color="auto"/>
              <w:left w:val="single" w:sz="4" w:space="0" w:color="auto"/>
              <w:bottom w:val="single" w:sz="4" w:space="0" w:color="auto"/>
            </w:tcBorders>
            <w:vAlign w:val="center"/>
          </w:tcPr>
          <w:p w:rsidR="005C37B9" w:rsidRDefault="005C37B9" w:rsidP="00EE385F">
            <w:pPr>
              <w:spacing w:line="300" w:lineRule="exact"/>
              <w:jc w:val="left"/>
              <w:rPr>
                <w:szCs w:val="21"/>
              </w:rPr>
            </w:pPr>
            <w:r>
              <w:rPr>
                <w:rFonts w:hint="eastAsia"/>
                <w:szCs w:val="21"/>
              </w:rPr>
              <w:t>注：</w:t>
            </w:r>
            <w:r>
              <w:rPr>
                <w:szCs w:val="21"/>
              </w:rPr>
              <w:t>安全卫生要求</w:t>
            </w:r>
            <w:r>
              <w:rPr>
                <w:rFonts w:hint="eastAsia"/>
                <w:szCs w:val="21"/>
              </w:rPr>
              <w:t>的</w:t>
            </w:r>
            <w:r>
              <w:rPr>
                <w:szCs w:val="21"/>
              </w:rPr>
              <w:t>检验项目为</w:t>
            </w:r>
            <w:r>
              <w:rPr>
                <w:szCs w:val="21"/>
              </w:rPr>
              <w:t>GB/T 26706</w:t>
            </w:r>
            <w:r>
              <w:rPr>
                <w:rFonts w:hint="eastAsia"/>
                <w:szCs w:val="21"/>
              </w:rPr>
              <w:t>—</w:t>
            </w:r>
            <w:r>
              <w:rPr>
                <w:szCs w:val="21"/>
              </w:rPr>
              <w:t>2011</w:t>
            </w:r>
            <w:r>
              <w:rPr>
                <w:szCs w:val="21"/>
              </w:rPr>
              <w:t>中序号</w:t>
            </w:r>
            <w:r>
              <w:rPr>
                <w:szCs w:val="21"/>
              </w:rPr>
              <w:t>31</w:t>
            </w:r>
            <w:r>
              <w:rPr>
                <w:szCs w:val="21"/>
              </w:rPr>
              <w:t>、</w:t>
            </w:r>
            <w:r>
              <w:rPr>
                <w:szCs w:val="21"/>
              </w:rPr>
              <w:t>33~38</w:t>
            </w:r>
            <w:r>
              <w:rPr>
                <w:szCs w:val="21"/>
              </w:rPr>
              <w:t>。</w:t>
            </w:r>
          </w:p>
        </w:tc>
      </w:tr>
    </w:tbl>
    <w:p w:rsidR="00811619" w:rsidRDefault="00811619" w:rsidP="00811619">
      <w:pPr>
        <w:adjustRightInd w:val="0"/>
        <w:snapToGrid w:val="0"/>
        <w:spacing w:line="440" w:lineRule="exact"/>
        <w:rPr>
          <w:szCs w:val="21"/>
        </w:rPr>
      </w:pPr>
      <w:r>
        <w:rPr>
          <w:rFonts w:hint="eastAsia"/>
          <w:szCs w:val="21"/>
        </w:rPr>
        <w:t>执行企业标准、团体标准、地方标准的产品，检验项目参照上述内容执行。</w:t>
      </w:r>
    </w:p>
    <w:p w:rsidR="00811619" w:rsidRDefault="00811619" w:rsidP="00811619">
      <w:pPr>
        <w:snapToGrid w:val="0"/>
        <w:spacing w:line="440" w:lineRule="exact"/>
        <w:ind w:firstLineChars="200" w:firstLine="420"/>
        <w:rPr>
          <w:szCs w:val="21"/>
        </w:rPr>
      </w:pPr>
      <w:r>
        <w:rPr>
          <w:szCs w:val="21"/>
        </w:rPr>
        <w:t>凡是注日期的文件，其随后所有的修改单（不包括勘误的内容）或修订版不适用于本细则。凡是不注日期的文件，其最新版本适用于本细则。</w:t>
      </w:r>
    </w:p>
    <w:p w:rsidR="00811619" w:rsidRDefault="00811619" w:rsidP="00811619">
      <w:pPr>
        <w:snapToGrid w:val="0"/>
        <w:spacing w:line="440" w:lineRule="exact"/>
        <w:rPr>
          <w:rFonts w:ascii="黑体" w:eastAsia="黑体" w:hAnsi="黑体"/>
          <w:szCs w:val="21"/>
        </w:rPr>
      </w:pPr>
      <w:r>
        <w:rPr>
          <w:rFonts w:ascii="黑体" w:eastAsia="黑体" w:hAnsi="黑体"/>
          <w:szCs w:val="21"/>
        </w:rPr>
        <w:t>3 判定规则</w:t>
      </w:r>
    </w:p>
    <w:p w:rsidR="00811619" w:rsidRDefault="00811619" w:rsidP="00811619">
      <w:pPr>
        <w:snapToGrid w:val="0"/>
        <w:spacing w:line="440" w:lineRule="exact"/>
        <w:rPr>
          <w:rFonts w:ascii="宋体" w:hAnsi="宋体"/>
          <w:szCs w:val="21"/>
        </w:rPr>
      </w:pPr>
      <w:r>
        <w:rPr>
          <w:rFonts w:ascii="宋体" w:hAnsi="宋体"/>
          <w:szCs w:val="21"/>
        </w:rPr>
        <w:t>3.1依据标准</w:t>
      </w:r>
    </w:p>
    <w:p w:rsidR="00D31BEC" w:rsidRDefault="00D31BEC" w:rsidP="00D31BEC">
      <w:pPr>
        <w:snapToGrid w:val="0"/>
        <w:spacing w:line="440" w:lineRule="exact"/>
        <w:ind w:firstLineChars="200" w:firstLine="420"/>
        <w:rPr>
          <w:szCs w:val="21"/>
        </w:rPr>
      </w:pPr>
      <w:r>
        <w:rPr>
          <w:szCs w:val="21"/>
        </w:rPr>
        <w:t>GB 17927.1—2011 </w:t>
      </w:r>
      <w:r>
        <w:rPr>
          <w:szCs w:val="21"/>
        </w:rPr>
        <w:t>软体家具</w:t>
      </w:r>
      <w:r>
        <w:rPr>
          <w:szCs w:val="21"/>
        </w:rPr>
        <w:t> </w:t>
      </w:r>
      <w:r>
        <w:rPr>
          <w:szCs w:val="21"/>
        </w:rPr>
        <w:t>床垫和沙发</w:t>
      </w:r>
      <w:r>
        <w:rPr>
          <w:szCs w:val="21"/>
        </w:rPr>
        <w:t> </w:t>
      </w:r>
      <w:r>
        <w:rPr>
          <w:szCs w:val="21"/>
        </w:rPr>
        <w:t>抗引燃特性的评定</w:t>
      </w:r>
      <w:r>
        <w:rPr>
          <w:szCs w:val="21"/>
        </w:rPr>
        <w:t> </w:t>
      </w:r>
      <w:r>
        <w:rPr>
          <w:szCs w:val="21"/>
        </w:rPr>
        <w:t>第</w:t>
      </w:r>
      <w:r>
        <w:rPr>
          <w:szCs w:val="21"/>
        </w:rPr>
        <w:t>1</w:t>
      </w:r>
      <w:r>
        <w:rPr>
          <w:szCs w:val="21"/>
        </w:rPr>
        <w:t>部分：阴燃的香烟</w:t>
      </w:r>
    </w:p>
    <w:p w:rsidR="00D31BEC" w:rsidRDefault="00D31BEC" w:rsidP="00D31BEC">
      <w:pPr>
        <w:snapToGrid w:val="0"/>
        <w:spacing w:line="440" w:lineRule="exact"/>
        <w:ind w:firstLineChars="200" w:firstLine="420"/>
        <w:rPr>
          <w:color w:val="000000"/>
          <w:szCs w:val="21"/>
        </w:rPr>
      </w:pPr>
      <w:r>
        <w:rPr>
          <w:color w:val="000000"/>
          <w:szCs w:val="21"/>
        </w:rPr>
        <w:t>QB/T 1952.2</w:t>
      </w:r>
      <w:r>
        <w:rPr>
          <w:szCs w:val="21"/>
        </w:rPr>
        <w:t>—</w:t>
      </w:r>
      <w:r>
        <w:rPr>
          <w:color w:val="000000"/>
          <w:szCs w:val="21"/>
        </w:rPr>
        <w:t xml:space="preserve">2023 </w:t>
      </w:r>
      <w:r>
        <w:rPr>
          <w:color w:val="000000"/>
          <w:szCs w:val="21"/>
        </w:rPr>
        <w:t>软体家具</w:t>
      </w:r>
      <w:r>
        <w:rPr>
          <w:color w:val="000000"/>
          <w:szCs w:val="21"/>
        </w:rPr>
        <w:t xml:space="preserve"> </w:t>
      </w:r>
      <w:r>
        <w:rPr>
          <w:color w:val="000000"/>
          <w:szCs w:val="21"/>
        </w:rPr>
        <w:t>弹簧软床垫</w:t>
      </w:r>
    </w:p>
    <w:p w:rsidR="00E91696" w:rsidRDefault="00E91696" w:rsidP="00E91696">
      <w:pPr>
        <w:snapToGrid w:val="0"/>
        <w:spacing w:line="440" w:lineRule="exact"/>
        <w:ind w:firstLineChars="171" w:firstLine="359"/>
        <w:rPr>
          <w:szCs w:val="21"/>
        </w:rPr>
      </w:pPr>
      <w:r>
        <w:rPr>
          <w:rFonts w:hint="eastAsia"/>
          <w:szCs w:val="21"/>
        </w:rPr>
        <w:lastRenderedPageBreak/>
        <w:t xml:space="preserve"> </w:t>
      </w:r>
      <w:r>
        <w:rPr>
          <w:szCs w:val="21"/>
        </w:rPr>
        <w:t>GB/T 26706</w:t>
      </w:r>
      <w:r>
        <w:rPr>
          <w:rFonts w:ascii="宋体" w:hAnsi="宋体" w:hint="eastAsia"/>
          <w:color w:val="000000"/>
          <w:szCs w:val="21"/>
        </w:rPr>
        <w:t>—</w:t>
      </w:r>
      <w:r>
        <w:rPr>
          <w:szCs w:val="21"/>
        </w:rPr>
        <w:t xml:space="preserve">2011 </w:t>
      </w:r>
      <w:r>
        <w:rPr>
          <w:szCs w:val="21"/>
        </w:rPr>
        <w:t>软体家具</w:t>
      </w:r>
      <w:r>
        <w:rPr>
          <w:szCs w:val="21"/>
        </w:rPr>
        <w:t xml:space="preserve"> </w:t>
      </w:r>
      <w:r>
        <w:rPr>
          <w:szCs w:val="21"/>
        </w:rPr>
        <w:t>棕纤维弹性床垫</w:t>
      </w:r>
    </w:p>
    <w:p w:rsidR="00811619" w:rsidRDefault="00811619" w:rsidP="00811619">
      <w:pPr>
        <w:snapToGrid w:val="0"/>
        <w:spacing w:line="440" w:lineRule="exact"/>
        <w:ind w:firstLineChars="171" w:firstLine="359"/>
        <w:rPr>
          <w:szCs w:val="21"/>
        </w:rPr>
      </w:pPr>
      <w:r>
        <w:rPr>
          <w:szCs w:val="21"/>
        </w:rPr>
        <w:t>现行有效的企业标准、团体标准、地方标准及产品明示质量要求</w:t>
      </w:r>
    </w:p>
    <w:p w:rsidR="00811619" w:rsidRDefault="00811619" w:rsidP="00811619">
      <w:pPr>
        <w:snapToGrid w:val="0"/>
        <w:spacing w:line="440" w:lineRule="exact"/>
        <w:rPr>
          <w:rFonts w:ascii="宋体" w:hAnsi="宋体"/>
          <w:szCs w:val="21"/>
        </w:rPr>
      </w:pPr>
      <w:r>
        <w:rPr>
          <w:rFonts w:ascii="宋体" w:hAnsi="宋体"/>
          <w:szCs w:val="21"/>
        </w:rPr>
        <w:t>3.2判定原则</w:t>
      </w:r>
    </w:p>
    <w:p w:rsidR="00811619" w:rsidRDefault="00811619" w:rsidP="00811619">
      <w:pPr>
        <w:snapToGrid w:val="0"/>
        <w:spacing w:line="440" w:lineRule="exact"/>
        <w:ind w:firstLineChars="200" w:firstLine="420"/>
        <w:rPr>
          <w:szCs w:val="21"/>
        </w:rPr>
      </w:pPr>
      <w:r>
        <w:rPr>
          <w:szCs w:val="21"/>
        </w:rPr>
        <w:t>经检验，检验项目全部合格，判定为被抽查产品</w:t>
      </w:r>
      <w:r>
        <w:rPr>
          <w:rFonts w:hint="eastAsia"/>
          <w:szCs w:val="21"/>
        </w:rPr>
        <w:t>所检项目未发现不合格</w:t>
      </w:r>
      <w:r>
        <w:rPr>
          <w:szCs w:val="21"/>
        </w:rPr>
        <w:t>；检验项目中任一项或一项以上不合格，判定为被抽查产品不合格。</w:t>
      </w:r>
    </w:p>
    <w:p w:rsidR="00811619" w:rsidRDefault="00811619" w:rsidP="00811619">
      <w:pPr>
        <w:snapToGrid w:val="0"/>
        <w:spacing w:line="440" w:lineRule="exact"/>
        <w:ind w:firstLineChars="199" w:firstLine="418"/>
        <w:rPr>
          <w:szCs w:val="21"/>
        </w:rPr>
      </w:pPr>
      <w:r>
        <w:rPr>
          <w:szCs w:val="21"/>
        </w:rPr>
        <w:t>若被检产品明示的质量要求高于本细则中检验项目依据的标准要求时，应按被检产品明示的质量要求判定。</w:t>
      </w:r>
    </w:p>
    <w:p w:rsidR="00811619" w:rsidRDefault="00811619" w:rsidP="00811619">
      <w:pPr>
        <w:snapToGrid w:val="0"/>
        <w:spacing w:line="440" w:lineRule="exact"/>
        <w:ind w:firstLineChars="199" w:firstLine="418"/>
        <w:rPr>
          <w:szCs w:val="21"/>
        </w:rPr>
      </w:pPr>
      <w:r>
        <w:rPr>
          <w:szCs w:val="21"/>
        </w:rPr>
        <w:t>若被检产品明示的质量要求低于本细则中检验项目依据的强制性标准要求时，应按照强制性标准要求判定。</w:t>
      </w:r>
    </w:p>
    <w:p w:rsidR="00811619" w:rsidRDefault="00811619" w:rsidP="00811619">
      <w:pPr>
        <w:snapToGrid w:val="0"/>
        <w:spacing w:line="440" w:lineRule="exact"/>
        <w:ind w:firstLineChars="199" w:firstLine="418"/>
        <w:rPr>
          <w:szCs w:val="21"/>
        </w:rPr>
      </w:pPr>
      <w:r>
        <w:rPr>
          <w:szCs w:val="21"/>
        </w:rPr>
        <w:t>若被检产品明示的质量要求低于或包含本细则中检验项目依据的推荐性标准要求时，应以被检产品明示的质量要求判定。</w:t>
      </w:r>
    </w:p>
    <w:p w:rsidR="00811619" w:rsidRDefault="00811619" w:rsidP="00811619">
      <w:pPr>
        <w:snapToGrid w:val="0"/>
        <w:spacing w:line="440" w:lineRule="exact"/>
        <w:ind w:firstLineChars="199" w:firstLine="418"/>
        <w:rPr>
          <w:szCs w:val="21"/>
        </w:rPr>
      </w:pPr>
      <w:r>
        <w:rPr>
          <w:szCs w:val="21"/>
        </w:rPr>
        <w:t>若被检产品明示的质量要求缺少本细则中检验项目依据的强制性标准要求时，应按照强制性标准要求判定。</w:t>
      </w:r>
    </w:p>
    <w:p w:rsidR="00811619" w:rsidRDefault="00811619" w:rsidP="00811619">
      <w:pPr>
        <w:snapToGrid w:val="0"/>
        <w:spacing w:line="440" w:lineRule="exact"/>
        <w:ind w:firstLineChars="199" w:firstLine="418"/>
        <w:rPr>
          <w:szCs w:val="21"/>
        </w:rPr>
      </w:pPr>
      <w:r>
        <w:rPr>
          <w:szCs w:val="21"/>
        </w:rPr>
        <w:t>若被检产品明示的质量要求缺少本细则中检验项目依据的推荐性标准要求时，该项目不参与判定。</w:t>
      </w:r>
    </w:p>
    <w:p w:rsidR="00811619" w:rsidRDefault="00811619" w:rsidP="00811619">
      <w:pPr>
        <w:snapToGrid w:val="0"/>
        <w:spacing w:line="440" w:lineRule="exact"/>
        <w:rPr>
          <w:rFonts w:ascii="黑体" w:eastAsia="黑体" w:hAnsi="黑体"/>
          <w:szCs w:val="21"/>
        </w:rPr>
      </w:pPr>
    </w:p>
    <w:sectPr w:rsidR="00811619" w:rsidSect="001A3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4C7" w:rsidRDefault="002844C7" w:rsidP="004D36B6">
      <w:r>
        <w:separator/>
      </w:r>
    </w:p>
  </w:endnote>
  <w:endnote w:type="continuationSeparator" w:id="0">
    <w:p w:rsidR="002844C7" w:rsidRDefault="002844C7" w:rsidP="004D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仿宋简体">
    <w:charset w:val="86"/>
    <w:family w:val="auto"/>
    <w:pitch w:val="variable"/>
    <w:sig w:usb0="A00002BF" w:usb1="184F6CFA" w:usb2="00000012"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4C7" w:rsidRDefault="002844C7" w:rsidP="004D36B6">
      <w:r>
        <w:separator/>
      </w:r>
    </w:p>
  </w:footnote>
  <w:footnote w:type="continuationSeparator" w:id="0">
    <w:p w:rsidR="002844C7" w:rsidRDefault="002844C7" w:rsidP="004D36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2F097"/>
    <w:multiLevelType w:val="singleLevel"/>
    <w:tmpl w:val="5DF2F097"/>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6B6"/>
    <w:rsid w:val="00000D9F"/>
    <w:rsid w:val="00104DAC"/>
    <w:rsid w:val="00122E19"/>
    <w:rsid w:val="001245CA"/>
    <w:rsid w:val="0013346A"/>
    <w:rsid w:val="00136AAC"/>
    <w:rsid w:val="00161D1C"/>
    <w:rsid w:val="00171EEC"/>
    <w:rsid w:val="00183BE0"/>
    <w:rsid w:val="0019246F"/>
    <w:rsid w:val="001A3BD4"/>
    <w:rsid w:val="001A6B08"/>
    <w:rsid w:val="001D72FE"/>
    <w:rsid w:val="001E4F74"/>
    <w:rsid w:val="001E73EB"/>
    <w:rsid w:val="00236DF0"/>
    <w:rsid w:val="00241792"/>
    <w:rsid w:val="002672EA"/>
    <w:rsid w:val="00270B5D"/>
    <w:rsid w:val="00275E34"/>
    <w:rsid w:val="002844C7"/>
    <w:rsid w:val="00286C61"/>
    <w:rsid w:val="002A72B0"/>
    <w:rsid w:val="002B517D"/>
    <w:rsid w:val="002F4E8C"/>
    <w:rsid w:val="00314B3F"/>
    <w:rsid w:val="00325E6F"/>
    <w:rsid w:val="00344A04"/>
    <w:rsid w:val="0034798D"/>
    <w:rsid w:val="00361A7E"/>
    <w:rsid w:val="003A3F72"/>
    <w:rsid w:val="004133D5"/>
    <w:rsid w:val="00415C19"/>
    <w:rsid w:val="0042282B"/>
    <w:rsid w:val="00430525"/>
    <w:rsid w:val="00444746"/>
    <w:rsid w:val="00450561"/>
    <w:rsid w:val="00492A4B"/>
    <w:rsid w:val="004A68A3"/>
    <w:rsid w:val="004D36B6"/>
    <w:rsid w:val="004E13F5"/>
    <w:rsid w:val="00517022"/>
    <w:rsid w:val="00546615"/>
    <w:rsid w:val="00576273"/>
    <w:rsid w:val="005A3E82"/>
    <w:rsid w:val="005B615D"/>
    <w:rsid w:val="005C37B9"/>
    <w:rsid w:val="00604DC5"/>
    <w:rsid w:val="00622801"/>
    <w:rsid w:val="0067209B"/>
    <w:rsid w:val="006933E4"/>
    <w:rsid w:val="006B39D2"/>
    <w:rsid w:val="00750A1C"/>
    <w:rsid w:val="00751F89"/>
    <w:rsid w:val="0076121A"/>
    <w:rsid w:val="007804C8"/>
    <w:rsid w:val="007C5A20"/>
    <w:rsid w:val="007E1EC6"/>
    <w:rsid w:val="007F1E61"/>
    <w:rsid w:val="00811619"/>
    <w:rsid w:val="00861A99"/>
    <w:rsid w:val="008A62AB"/>
    <w:rsid w:val="008D6A75"/>
    <w:rsid w:val="008E684D"/>
    <w:rsid w:val="008F3126"/>
    <w:rsid w:val="00900CFB"/>
    <w:rsid w:val="00903FEA"/>
    <w:rsid w:val="009075B6"/>
    <w:rsid w:val="009A6967"/>
    <w:rsid w:val="00AA7FC6"/>
    <w:rsid w:val="00AD5F0A"/>
    <w:rsid w:val="00AE29D6"/>
    <w:rsid w:val="00AE3B09"/>
    <w:rsid w:val="00B34E28"/>
    <w:rsid w:val="00B36DD9"/>
    <w:rsid w:val="00B413A7"/>
    <w:rsid w:val="00BB08C1"/>
    <w:rsid w:val="00BD5A54"/>
    <w:rsid w:val="00BE2659"/>
    <w:rsid w:val="00C14DFE"/>
    <w:rsid w:val="00C555B5"/>
    <w:rsid w:val="00C617E2"/>
    <w:rsid w:val="00C67676"/>
    <w:rsid w:val="00CE6F9B"/>
    <w:rsid w:val="00D011AD"/>
    <w:rsid w:val="00D31BEC"/>
    <w:rsid w:val="00D36D6C"/>
    <w:rsid w:val="00D835F2"/>
    <w:rsid w:val="00E05D55"/>
    <w:rsid w:val="00E47035"/>
    <w:rsid w:val="00E91696"/>
    <w:rsid w:val="00E97667"/>
    <w:rsid w:val="00EA7840"/>
    <w:rsid w:val="00ED05AC"/>
    <w:rsid w:val="00EE7869"/>
    <w:rsid w:val="00EF4880"/>
    <w:rsid w:val="00F26D8B"/>
    <w:rsid w:val="00F46598"/>
    <w:rsid w:val="00F95E92"/>
    <w:rsid w:val="00FA57A4"/>
    <w:rsid w:val="00FB6F8C"/>
    <w:rsid w:val="00FE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D03A4"/>
  <w15:docId w15:val="{ED7667A0-AD37-4F23-93EE-EE46437D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6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6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36B6"/>
    <w:rPr>
      <w:sz w:val="18"/>
      <w:szCs w:val="18"/>
    </w:rPr>
  </w:style>
  <w:style w:type="paragraph" w:styleId="a5">
    <w:name w:val="footer"/>
    <w:basedOn w:val="a"/>
    <w:link w:val="a6"/>
    <w:uiPriority w:val="99"/>
    <w:unhideWhenUsed/>
    <w:rsid w:val="004D36B6"/>
    <w:pPr>
      <w:tabs>
        <w:tab w:val="center" w:pos="4153"/>
        <w:tab w:val="right" w:pos="8306"/>
      </w:tabs>
      <w:snapToGrid w:val="0"/>
      <w:jc w:val="left"/>
    </w:pPr>
    <w:rPr>
      <w:sz w:val="18"/>
      <w:szCs w:val="18"/>
    </w:rPr>
  </w:style>
  <w:style w:type="character" w:customStyle="1" w:styleId="a6">
    <w:name w:val="页脚 字符"/>
    <w:basedOn w:val="a0"/>
    <w:link w:val="a5"/>
    <w:uiPriority w:val="99"/>
    <w:rsid w:val="004D36B6"/>
    <w:rPr>
      <w:sz w:val="18"/>
      <w:szCs w:val="18"/>
    </w:rPr>
  </w:style>
  <w:style w:type="paragraph" w:styleId="a7">
    <w:name w:val="Plain Text"/>
    <w:basedOn w:val="a"/>
    <w:link w:val="a8"/>
    <w:uiPriority w:val="99"/>
    <w:rsid w:val="008F3126"/>
    <w:rPr>
      <w:rFonts w:ascii="宋体" w:hAnsi="Courier New"/>
      <w:szCs w:val="20"/>
    </w:rPr>
  </w:style>
  <w:style w:type="character" w:customStyle="1" w:styleId="a8">
    <w:name w:val="纯文本 字符"/>
    <w:basedOn w:val="a0"/>
    <w:link w:val="a7"/>
    <w:uiPriority w:val="99"/>
    <w:rsid w:val="008F3126"/>
    <w:rPr>
      <w:rFonts w:ascii="宋体" w:eastAsia="宋体" w:hAnsi="Courier New" w:cs="Times New Roman"/>
      <w:szCs w:val="20"/>
    </w:rPr>
  </w:style>
  <w:style w:type="table" w:styleId="a9">
    <w:name w:val="Table Grid"/>
    <w:basedOn w:val="a1"/>
    <w:uiPriority w:val="59"/>
    <w:qFormat/>
    <w:rsid w:val="005170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8E684D"/>
    <w:rPr>
      <w:sz w:val="18"/>
      <w:szCs w:val="18"/>
    </w:rPr>
  </w:style>
  <w:style w:type="character" w:customStyle="1" w:styleId="ab">
    <w:name w:val="批注框文本 字符"/>
    <w:basedOn w:val="a0"/>
    <w:link w:val="aa"/>
    <w:uiPriority w:val="99"/>
    <w:semiHidden/>
    <w:rsid w:val="008E684D"/>
    <w:rPr>
      <w:rFonts w:ascii="Times New Roman" w:eastAsia="宋体" w:hAnsi="Times New Roman" w:cs="Times New Roman"/>
      <w:sz w:val="18"/>
      <w:szCs w:val="18"/>
    </w:rPr>
  </w:style>
  <w:style w:type="character" w:customStyle="1" w:styleId="Char1">
    <w:name w:val="纯文本 Char1"/>
    <w:uiPriority w:val="99"/>
    <w:rsid w:val="0013346A"/>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32023">
      <w:bodyDiv w:val="1"/>
      <w:marLeft w:val="0"/>
      <w:marRight w:val="0"/>
      <w:marTop w:val="0"/>
      <w:marBottom w:val="0"/>
      <w:divBdr>
        <w:top w:val="none" w:sz="0" w:space="0" w:color="auto"/>
        <w:left w:val="none" w:sz="0" w:space="0" w:color="auto"/>
        <w:bottom w:val="none" w:sz="0" w:space="0" w:color="auto"/>
        <w:right w:val="none" w:sz="0" w:space="0" w:color="auto"/>
      </w:divBdr>
      <w:divsChild>
        <w:div w:id="1023021248">
          <w:marLeft w:val="0"/>
          <w:marRight w:val="0"/>
          <w:marTop w:val="0"/>
          <w:marBottom w:val="0"/>
          <w:divBdr>
            <w:top w:val="none" w:sz="0" w:space="0" w:color="auto"/>
            <w:left w:val="none" w:sz="0" w:space="0" w:color="auto"/>
            <w:bottom w:val="none" w:sz="0" w:space="0" w:color="auto"/>
            <w:right w:val="none" w:sz="0" w:space="0" w:color="auto"/>
          </w:divBdr>
          <w:divsChild>
            <w:div w:id="273755754">
              <w:marLeft w:val="0"/>
              <w:marRight w:val="0"/>
              <w:marTop w:val="0"/>
              <w:marBottom w:val="0"/>
              <w:divBdr>
                <w:top w:val="none" w:sz="0" w:space="0" w:color="auto"/>
                <w:left w:val="none" w:sz="0" w:space="0" w:color="auto"/>
                <w:bottom w:val="none" w:sz="0" w:space="0" w:color="auto"/>
                <w:right w:val="none" w:sz="0" w:space="0" w:color="auto"/>
              </w:divBdr>
              <w:divsChild>
                <w:div w:id="996881749">
                  <w:marLeft w:val="0"/>
                  <w:marRight w:val="0"/>
                  <w:marTop w:val="0"/>
                  <w:marBottom w:val="0"/>
                  <w:divBdr>
                    <w:top w:val="none" w:sz="0" w:space="0" w:color="auto"/>
                    <w:left w:val="none" w:sz="0" w:space="0" w:color="auto"/>
                    <w:bottom w:val="none" w:sz="0" w:space="0" w:color="auto"/>
                    <w:right w:val="none" w:sz="0" w:space="0" w:color="auto"/>
                  </w:divBdr>
                  <w:divsChild>
                    <w:div w:id="909122607">
                      <w:marLeft w:val="0"/>
                      <w:marRight w:val="0"/>
                      <w:marTop w:val="0"/>
                      <w:marBottom w:val="0"/>
                      <w:divBdr>
                        <w:top w:val="none" w:sz="0" w:space="0" w:color="auto"/>
                        <w:left w:val="none" w:sz="0" w:space="0" w:color="auto"/>
                        <w:bottom w:val="none" w:sz="0" w:space="0" w:color="auto"/>
                        <w:right w:val="none" w:sz="0" w:space="0" w:color="auto"/>
                      </w:divBdr>
                      <w:divsChild>
                        <w:div w:id="8516464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4031">
      <w:bodyDiv w:val="1"/>
      <w:marLeft w:val="0"/>
      <w:marRight w:val="0"/>
      <w:marTop w:val="0"/>
      <w:marBottom w:val="0"/>
      <w:divBdr>
        <w:top w:val="none" w:sz="0" w:space="0" w:color="auto"/>
        <w:left w:val="none" w:sz="0" w:space="0" w:color="auto"/>
        <w:bottom w:val="none" w:sz="0" w:space="0" w:color="auto"/>
        <w:right w:val="none" w:sz="0" w:space="0" w:color="auto"/>
      </w:divBdr>
    </w:div>
    <w:div w:id="2013794063">
      <w:bodyDiv w:val="1"/>
      <w:marLeft w:val="0"/>
      <w:marRight w:val="0"/>
      <w:marTop w:val="0"/>
      <w:marBottom w:val="0"/>
      <w:divBdr>
        <w:top w:val="none" w:sz="0" w:space="0" w:color="auto"/>
        <w:left w:val="none" w:sz="0" w:space="0" w:color="auto"/>
        <w:bottom w:val="none" w:sz="0" w:space="0" w:color="auto"/>
        <w:right w:val="none" w:sz="0" w:space="0" w:color="auto"/>
      </w:divBdr>
      <w:divsChild>
        <w:div w:id="1005086373">
          <w:marLeft w:val="0"/>
          <w:marRight w:val="0"/>
          <w:marTop w:val="0"/>
          <w:marBottom w:val="0"/>
          <w:divBdr>
            <w:top w:val="none" w:sz="0" w:space="0" w:color="auto"/>
            <w:left w:val="none" w:sz="0" w:space="0" w:color="auto"/>
            <w:bottom w:val="none" w:sz="0" w:space="0" w:color="auto"/>
            <w:right w:val="none" w:sz="0" w:space="0" w:color="auto"/>
          </w:divBdr>
          <w:divsChild>
            <w:div w:id="1716657499">
              <w:marLeft w:val="0"/>
              <w:marRight w:val="0"/>
              <w:marTop w:val="0"/>
              <w:marBottom w:val="0"/>
              <w:divBdr>
                <w:top w:val="none" w:sz="0" w:space="0" w:color="auto"/>
                <w:left w:val="none" w:sz="0" w:space="0" w:color="auto"/>
                <w:bottom w:val="none" w:sz="0" w:space="0" w:color="auto"/>
                <w:right w:val="none" w:sz="0" w:space="0" w:color="auto"/>
              </w:divBdr>
              <w:divsChild>
                <w:div w:id="598635684">
                  <w:marLeft w:val="0"/>
                  <w:marRight w:val="0"/>
                  <w:marTop w:val="0"/>
                  <w:marBottom w:val="0"/>
                  <w:divBdr>
                    <w:top w:val="none" w:sz="0" w:space="0" w:color="auto"/>
                    <w:left w:val="none" w:sz="0" w:space="0" w:color="auto"/>
                    <w:bottom w:val="none" w:sz="0" w:space="0" w:color="auto"/>
                    <w:right w:val="none" w:sz="0" w:space="0" w:color="auto"/>
                  </w:divBdr>
                  <w:divsChild>
                    <w:div w:id="277027769">
                      <w:marLeft w:val="0"/>
                      <w:marRight w:val="0"/>
                      <w:marTop w:val="0"/>
                      <w:marBottom w:val="0"/>
                      <w:divBdr>
                        <w:top w:val="none" w:sz="0" w:space="0" w:color="auto"/>
                        <w:left w:val="none" w:sz="0" w:space="0" w:color="auto"/>
                        <w:bottom w:val="none" w:sz="0" w:space="0" w:color="auto"/>
                        <w:right w:val="none" w:sz="0" w:space="0" w:color="auto"/>
                      </w:divBdr>
                      <w:divsChild>
                        <w:div w:id="5573243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C8D7F-2F61-4D99-9542-87235AED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305</Words>
  <Characters>1740</Characters>
  <Application>Microsoft Office Word</Application>
  <DocSecurity>0</DocSecurity>
  <Lines>14</Lines>
  <Paragraphs>4</Paragraphs>
  <ScaleCrop>false</ScaleCrop>
  <Company>P R C</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陈潆</cp:lastModifiedBy>
  <cp:revision>20</cp:revision>
  <dcterms:created xsi:type="dcterms:W3CDTF">2021-08-05T09:34:00Z</dcterms:created>
  <dcterms:modified xsi:type="dcterms:W3CDTF">2024-10-08T08:11:00Z</dcterms:modified>
</cp:coreProperties>
</file>